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AB54" w14:textId="4AE3AD51" w:rsidR="00F705FB" w:rsidRDefault="00F705FB" w:rsidP="000C0402">
      <w:pPr>
        <w:pStyle w:val="Title"/>
        <w:jc w:val="both"/>
      </w:pPr>
      <w:r w:rsidRPr="00F705FB">
        <w:t xml:space="preserve">MEDIN </w:t>
      </w:r>
      <w:r w:rsidR="007428ED" w:rsidRPr="00F705FB">
        <w:t>DAC WG Meeting</w:t>
      </w:r>
      <w:r>
        <w:t xml:space="preserve"> </w:t>
      </w:r>
      <w:r w:rsidR="008251B1">
        <w:t>7</w:t>
      </w:r>
    </w:p>
    <w:p w14:paraId="60DF7B0C" w14:textId="5B82C867" w:rsidR="00EB536B" w:rsidRPr="00F705FB" w:rsidRDefault="008251B1" w:rsidP="000C0402">
      <w:pPr>
        <w:pStyle w:val="Title"/>
        <w:jc w:val="both"/>
        <w:rPr>
          <w:sz w:val="24"/>
          <w:szCs w:val="24"/>
        </w:rPr>
      </w:pPr>
      <w:r>
        <w:rPr>
          <w:sz w:val="24"/>
          <w:szCs w:val="24"/>
        </w:rPr>
        <w:t>13:00-17</w:t>
      </w:r>
      <w:r w:rsidR="003F1907">
        <w:rPr>
          <w:sz w:val="24"/>
          <w:szCs w:val="24"/>
        </w:rPr>
        <w:t>:</w:t>
      </w:r>
      <w:r>
        <w:rPr>
          <w:sz w:val="24"/>
          <w:szCs w:val="24"/>
        </w:rPr>
        <w:t>3</w:t>
      </w:r>
      <w:r w:rsidR="003F1907">
        <w:rPr>
          <w:sz w:val="24"/>
          <w:szCs w:val="24"/>
        </w:rPr>
        <w:t>0</w:t>
      </w:r>
      <w:r w:rsidR="00F705FB" w:rsidRPr="00F705FB">
        <w:rPr>
          <w:sz w:val="24"/>
          <w:szCs w:val="24"/>
        </w:rPr>
        <w:t xml:space="preserve"> </w:t>
      </w:r>
      <w:r>
        <w:rPr>
          <w:sz w:val="24"/>
          <w:szCs w:val="24"/>
        </w:rPr>
        <w:t>Wednesday</w:t>
      </w:r>
      <w:r w:rsidR="00A44A23" w:rsidRPr="00F705FB">
        <w:rPr>
          <w:sz w:val="24"/>
          <w:szCs w:val="24"/>
        </w:rPr>
        <w:t xml:space="preserve"> </w:t>
      </w:r>
      <w:r>
        <w:rPr>
          <w:sz w:val="24"/>
          <w:szCs w:val="24"/>
        </w:rPr>
        <w:t>8</w:t>
      </w:r>
      <w:r w:rsidR="00F705FB" w:rsidRPr="00F705FB">
        <w:rPr>
          <w:sz w:val="24"/>
          <w:szCs w:val="24"/>
        </w:rPr>
        <w:t xml:space="preserve">th </w:t>
      </w:r>
      <w:r w:rsidR="00EC7EAE">
        <w:rPr>
          <w:sz w:val="24"/>
          <w:szCs w:val="24"/>
        </w:rPr>
        <w:t>November</w:t>
      </w:r>
      <w:r w:rsidR="00800C1F">
        <w:rPr>
          <w:sz w:val="24"/>
          <w:szCs w:val="24"/>
        </w:rPr>
        <w:t xml:space="preserve"> 2017</w:t>
      </w:r>
      <w:r w:rsidR="00F705FB" w:rsidRPr="00F705FB">
        <w:rPr>
          <w:sz w:val="24"/>
          <w:szCs w:val="24"/>
        </w:rPr>
        <w:t xml:space="preserve">, </w:t>
      </w:r>
      <w:r w:rsidR="003F1907">
        <w:rPr>
          <w:sz w:val="24"/>
          <w:szCs w:val="24"/>
        </w:rPr>
        <w:t>Uni. Liv. in London</w:t>
      </w:r>
      <w:r w:rsidR="00F705FB" w:rsidRPr="0067122D">
        <w:rPr>
          <w:color w:val="1F497D" w:themeColor="text2"/>
          <w:sz w:val="24"/>
          <w:szCs w:val="24"/>
        </w:rPr>
        <w:t xml:space="preserve">, </w:t>
      </w:r>
      <w:r w:rsidR="003F1907">
        <w:rPr>
          <w:color w:val="1F497D" w:themeColor="text2"/>
          <w:sz w:val="24"/>
          <w:szCs w:val="24"/>
          <w:shd w:val="clear" w:color="auto" w:fill="FFFFFF"/>
        </w:rPr>
        <w:t>London</w:t>
      </w:r>
    </w:p>
    <w:p w14:paraId="78806AC6" w14:textId="77777777" w:rsidR="0056566F" w:rsidRDefault="0056566F" w:rsidP="000C0402">
      <w:pPr>
        <w:spacing w:after="0" w:line="240" w:lineRule="auto"/>
        <w:ind w:right="453"/>
        <w:jc w:val="both"/>
        <w:rPr>
          <w:b/>
          <w:sz w:val="24"/>
          <w:szCs w:val="24"/>
        </w:rPr>
      </w:pPr>
    </w:p>
    <w:tbl>
      <w:tblPr>
        <w:tblStyle w:val="TableGrid"/>
        <w:tblW w:w="0" w:type="auto"/>
        <w:tblLook w:val="04A0" w:firstRow="1" w:lastRow="0" w:firstColumn="1" w:lastColumn="0" w:noHBand="0" w:noVBand="1"/>
      </w:tblPr>
      <w:tblGrid>
        <w:gridCol w:w="2263"/>
        <w:gridCol w:w="1724"/>
        <w:gridCol w:w="3301"/>
        <w:gridCol w:w="1728"/>
      </w:tblGrid>
      <w:tr w:rsidR="00F124A1" w:rsidRPr="00851AB2" w14:paraId="50C23994" w14:textId="77777777" w:rsidTr="008251B1">
        <w:tc>
          <w:tcPr>
            <w:tcW w:w="9016" w:type="dxa"/>
            <w:gridSpan w:val="4"/>
            <w:shd w:val="clear" w:color="auto" w:fill="D9D9D9" w:themeFill="background1" w:themeFillShade="D9"/>
            <w:vAlign w:val="bottom"/>
          </w:tcPr>
          <w:p w14:paraId="718D31F3" w14:textId="77777777" w:rsidR="00F124A1" w:rsidRPr="00851AB2" w:rsidRDefault="00F124A1" w:rsidP="000C0402">
            <w:pPr>
              <w:jc w:val="both"/>
              <w:rPr>
                <w:rFonts w:ascii="Calibri" w:hAnsi="Calibri"/>
                <w:color w:val="000000"/>
                <w:sz w:val="18"/>
                <w:szCs w:val="18"/>
              </w:rPr>
            </w:pPr>
            <w:r w:rsidRPr="00851AB2">
              <w:rPr>
                <w:b/>
                <w:sz w:val="18"/>
                <w:szCs w:val="18"/>
              </w:rPr>
              <w:t>Attending</w:t>
            </w:r>
          </w:p>
        </w:tc>
      </w:tr>
      <w:tr w:rsidR="00012FDF" w:rsidRPr="00851AB2" w14:paraId="2454AE93" w14:textId="77777777" w:rsidTr="00281DB6">
        <w:tc>
          <w:tcPr>
            <w:tcW w:w="2263" w:type="dxa"/>
            <w:vAlign w:val="bottom"/>
          </w:tcPr>
          <w:p w14:paraId="4627B7CF" w14:textId="1505057B"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Jon Parr – Chair (JP)</w:t>
            </w:r>
          </w:p>
        </w:tc>
        <w:tc>
          <w:tcPr>
            <w:tcW w:w="1724" w:type="dxa"/>
            <w:vAlign w:val="bottom"/>
          </w:tcPr>
          <w:p w14:paraId="7CC36041" w14:textId="77777777"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MBA</w:t>
            </w:r>
          </w:p>
        </w:tc>
        <w:tc>
          <w:tcPr>
            <w:tcW w:w="3301" w:type="dxa"/>
            <w:vAlign w:val="bottom"/>
          </w:tcPr>
          <w:p w14:paraId="6E509891" w14:textId="27C6AE64"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Robin McCandliss – minutes (RM)</w:t>
            </w:r>
          </w:p>
        </w:tc>
        <w:tc>
          <w:tcPr>
            <w:tcW w:w="1728" w:type="dxa"/>
            <w:vAlign w:val="bottom"/>
          </w:tcPr>
          <w:p w14:paraId="24F9F5BA" w14:textId="0C1CF1CC"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MEDIN</w:t>
            </w:r>
          </w:p>
        </w:tc>
      </w:tr>
      <w:tr w:rsidR="00012FDF" w:rsidRPr="00851AB2" w14:paraId="65F818BC" w14:textId="77777777" w:rsidTr="00281DB6">
        <w:tc>
          <w:tcPr>
            <w:tcW w:w="2263" w:type="dxa"/>
            <w:vAlign w:val="bottom"/>
          </w:tcPr>
          <w:p w14:paraId="5FB9F440" w14:textId="444A810E"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James Ayliffe (JA)</w:t>
            </w:r>
          </w:p>
        </w:tc>
        <w:tc>
          <w:tcPr>
            <w:tcW w:w="1724" w:type="dxa"/>
            <w:vAlign w:val="bottom"/>
          </w:tcPr>
          <w:p w14:paraId="7BDC1396" w14:textId="7612BED7"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BODC</w:t>
            </w:r>
          </w:p>
        </w:tc>
        <w:tc>
          <w:tcPr>
            <w:tcW w:w="3301" w:type="dxa"/>
            <w:vAlign w:val="bottom"/>
          </w:tcPr>
          <w:p w14:paraId="44E8679D" w14:textId="4D74CCD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Peter McKeague (PM)</w:t>
            </w:r>
          </w:p>
        </w:tc>
        <w:tc>
          <w:tcPr>
            <w:tcW w:w="1728" w:type="dxa"/>
            <w:vAlign w:val="bottom"/>
          </w:tcPr>
          <w:p w14:paraId="22DBD145" w14:textId="14E24020"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HES</w:t>
            </w:r>
          </w:p>
        </w:tc>
      </w:tr>
      <w:tr w:rsidR="00012FDF" w:rsidRPr="00851AB2" w14:paraId="3225FC3E" w14:textId="77777777" w:rsidTr="00281DB6">
        <w:tc>
          <w:tcPr>
            <w:tcW w:w="2263" w:type="dxa"/>
            <w:vAlign w:val="bottom"/>
          </w:tcPr>
          <w:p w14:paraId="79D9C7E0" w14:textId="3F53396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Chelsea Bradbury (CB)</w:t>
            </w:r>
          </w:p>
        </w:tc>
        <w:tc>
          <w:tcPr>
            <w:tcW w:w="1724" w:type="dxa"/>
            <w:vAlign w:val="bottom"/>
          </w:tcPr>
          <w:p w14:paraId="32D5C593" w14:textId="48BCA7B6" w:rsidR="00012FDF" w:rsidRPr="00851AB2" w:rsidRDefault="00DD35E4" w:rsidP="000C0402">
            <w:pPr>
              <w:jc w:val="both"/>
              <w:rPr>
                <w:rFonts w:ascii="Calibri" w:hAnsi="Calibri"/>
                <w:color w:val="000000"/>
                <w:sz w:val="18"/>
                <w:szCs w:val="18"/>
              </w:rPr>
            </w:pPr>
            <w:r>
              <w:rPr>
                <w:rFonts w:ascii="Calibri" w:hAnsi="Calibri"/>
                <w:color w:val="000000"/>
                <w:sz w:val="18"/>
                <w:szCs w:val="18"/>
              </w:rPr>
              <w:t xml:space="preserve">The </w:t>
            </w:r>
            <w:r w:rsidR="00012FDF" w:rsidRPr="00851AB2">
              <w:rPr>
                <w:rFonts w:ascii="Calibri" w:hAnsi="Calibri"/>
                <w:color w:val="000000"/>
                <w:sz w:val="18"/>
                <w:szCs w:val="18"/>
              </w:rPr>
              <w:t>Crown Estate</w:t>
            </w:r>
          </w:p>
        </w:tc>
        <w:tc>
          <w:tcPr>
            <w:tcW w:w="3301" w:type="dxa"/>
            <w:vAlign w:val="bottom"/>
          </w:tcPr>
          <w:p w14:paraId="4E097324" w14:textId="46C2C91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Mary Mowat (MM)</w:t>
            </w:r>
          </w:p>
        </w:tc>
        <w:tc>
          <w:tcPr>
            <w:tcW w:w="1728" w:type="dxa"/>
            <w:vAlign w:val="bottom"/>
          </w:tcPr>
          <w:p w14:paraId="5B9304A4" w14:textId="39A868EB"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BGS</w:t>
            </w:r>
          </w:p>
        </w:tc>
      </w:tr>
      <w:tr w:rsidR="00012FDF" w:rsidRPr="00851AB2" w14:paraId="2AFA3376" w14:textId="77777777" w:rsidTr="00281DB6">
        <w:tc>
          <w:tcPr>
            <w:tcW w:w="2263" w:type="dxa"/>
            <w:vAlign w:val="bottom"/>
          </w:tcPr>
          <w:p w14:paraId="764AA93E" w14:textId="5D6EB2AF"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Mary Brown (MB)</w:t>
            </w:r>
          </w:p>
        </w:tc>
        <w:tc>
          <w:tcPr>
            <w:tcW w:w="1724" w:type="dxa"/>
            <w:vAlign w:val="bottom"/>
          </w:tcPr>
          <w:p w14:paraId="294B9DBF" w14:textId="0097D5D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Cefas</w:t>
            </w:r>
          </w:p>
        </w:tc>
        <w:tc>
          <w:tcPr>
            <w:tcW w:w="3301" w:type="dxa"/>
            <w:vAlign w:val="bottom"/>
          </w:tcPr>
          <w:p w14:paraId="54EF635B" w14:textId="0CCDCDC0"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Chris Perring (CPE)</w:t>
            </w:r>
          </w:p>
        </w:tc>
        <w:tc>
          <w:tcPr>
            <w:tcW w:w="1728" w:type="dxa"/>
            <w:vAlign w:val="bottom"/>
          </w:tcPr>
          <w:p w14:paraId="7EC37205" w14:textId="4E5AF21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UKHO</w:t>
            </w:r>
          </w:p>
        </w:tc>
      </w:tr>
      <w:tr w:rsidR="00012FDF" w:rsidRPr="00851AB2" w14:paraId="74E995EF" w14:textId="77777777" w:rsidTr="00281DB6">
        <w:tc>
          <w:tcPr>
            <w:tcW w:w="2263" w:type="dxa"/>
            <w:vAlign w:val="bottom"/>
          </w:tcPr>
          <w:p w14:paraId="3FC9F220" w14:textId="4B01DF7A"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Gareth Burns (GB)</w:t>
            </w:r>
          </w:p>
        </w:tc>
        <w:tc>
          <w:tcPr>
            <w:tcW w:w="1724" w:type="dxa"/>
            <w:vAlign w:val="bottom"/>
          </w:tcPr>
          <w:p w14:paraId="415A7F94" w14:textId="32A1C65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AFBI</w:t>
            </w:r>
          </w:p>
        </w:tc>
        <w:tc>
          <w:tcPr>
            <w:tcW w:w="3301" w:type="dxa"/>
            <w:vAlign w:val="bottom"/>
          </w:tcPr>
          <w:p w14:paraId="47DD3552" w14:textId="1205AD0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Clare Postlethwaite (CP)</w:t>
            </w:r>
          </w:p>
        </w:tc>
        <w:tc>
          <w:tcPr>
            <w:tcW w:w="1728" w:type="dxa"/>
            <w:vAlign w:val="bottom"/>
          </w:tcPr>
          <w:p w14:paraId="0C535B7E" w14:textId="7ECABAA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MEDIN</w:t>
            </w:r>
          </w:p>
        </w:tc>
      </w:tr>
      <w:tr w:rsidR="00012FDF" w:rsidRPr="00851AB2" w14:paraId="069165CA" w14:textId="77777777" w:rsidTr="00281DB6">
        <w:tc>
          <w:tcPr>
            <w:tcW w:w="2263" w:type="dxa"/>
            <w:vAlign w:val="bottom"/>
          </w:tcPr>
          <w:p w14:paraId="10C86955" w14:textId="5167C049"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James Cook</w:t>
            </w:r>
            <w:r w:rsidR="00DD35E4">
              <w:rPr>
                <w:rFonts w:ascii="Calibri" w:hAnsi="Calibri"/>
                <w:color w:val="000000"/>
                <w:sz w:val="18"/>
                <w:szCs w:val="18"/>
              </w:rPr>
              <w:t>e</w:t>
            </w:r>
            <w:r w:rsidRPr="00851AB2">
              <w:rPr>
                <w:rFonts w:ascii="Calibri" w:hAnsi="Calibri"/>
                <w:color w:val="000000"/>
                <w:sz w:val="18"/>
                <w:szCs w:val="18"/>
              </w:rPr>
              <w:t xml:space="preserve"> (JC)</w:t>
            </w:r>
          </w:p>
        </w:tc>
        <w:tc>
          <w:tcPr>
            <w:tcW w:w="1724" w:type="dxa"/>
            <w:vAlign w:val="bottom"/>
          </w:tcPr>
          <w:p w14:paraId="737D8C5C" w14:textId="5450C9C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UKHO</w:t>
            </w:r>
          </w:p>
        </w:tc>
        <w:tc>
          <w:tcPr>
            <w:tcW w:w="3301" w:type="dxa"/>
            <w:vAlign w:val="bottom"/>
          </w:tcPr>
          <w:p w14:paraId="327EA540" w14:textId="4266A654"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Jens Rasmussen (JR)</w:t>
            </w:r>
          </w:p>
        </w:tc>
        <w:tc>
          <w:tcPr>
            <w:tcW w:w="1728" w:type="dxa"/>
            <w:vAlign w:val="bottom"/>
          </w:tcPr>
          <w:p w14:paraId="3F965D98" w14:textId="7707B775"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Marine Scotland</w:t>
            </w:r>
          </w:p>
        </w:tc>
      </w:tr>
      <w:tr w:rsidR="00012FDF" w:rsidRPr="00851AB2" w14:paraId="5B2F2D15" w14:textId="77777777" w:rsidTr="00281DB6">
        <w:tc>
          <w:tcPr>
            <w:tcW w:w="2263" w:type="dxa"/>
            <w:vAlign w:val="bottom"/>
          </w:tcPr>
          <w:p w14:paraId="5B950344" w14:textId="2E00E3A9"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Gareth Edwards (GE)</w:t>
            </w:r>
          </w:p>
        </w:tc>
        <w:tc>
          <w:tcPr>
            <w:tcW w:w="1724" w:type="dxa"/>
            <w:vAlign w:val="bottom"/>
          </w:tcPr>
          <w:p w14:paraId="7EAB39E4" w14:textId="76AD9FA0"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RCAHMW</w:t>
            </w:r>
          </w:p>
        </w:tc>
        <w:tc>
          <w:tcPr>
            <w:tcW w:w="3301" w:type="dxa"/>
            <w:vAlign w:val="bottom"/>
          </w:tcPr>
          <w:p w14:paraId="09D8D924" w14:textId="7E1606A0"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Lesley Rickards (LR)</w:t>
            </w:r>
          </w:p>
        </w:tc>
        <w:tc>
          <w:tcPr>
            <w:tcW w:w="1728" w:type="dxa"/>
            <w:vAlign w:val="bottom"/>
          </w:tcPr>
          <w:p w14:paraId="5F0EF08D" w14:textId="2E092389"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MEDIN</w:t>
            </w:r>
          </w:p>
        </w:tc>
      </w:tr>
      <w:tr w:rsidR="00012FDF" w:rsidRPr="00851AB2" w14:paraId="0A8E301E" w14:textId="77777777" w:rsidTr="00281DB6">
        <w:tc>
          <w:tcPr>
            <w:tcW w:w="2263" w:type="dxa"/>
            <w:vAlign w:val="bottom"/>
          </w:tcPr>
          <w:p w14:paraId="07E6AA87" w14:textId="2DB6639B"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Gaynor Evans (GEV)</w:t>
            </w:r>
          </w:p>
        </w:tc>
        <w:tc>
          <w:tcPr>
            <w:tcW w:w="1724" w:type="dxa"/>
            <w:vAlign w:val="bottom"/>
          </w:tcPr>
          <w:p w14:paraId="3728AE46" w14:textId="189F806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MEDIN</w:t>
            </w:r>
          </w:p>
        </w:tc>
        <w:tc>
          <w:tcPr>
            <w:tcW w:w="3301" w:type="dxa"/>
            <w:vAlign w:val="bottom"/>
          </w:tcPr>
          <w:p w14:paraId="2EB273DF" w14:textId="2FA4F88A"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Martyn Sunter (MS)</w:t>
            </w:r>
          </w:p>
        </w:tc>
        <w:tc>
          <w:tcPr>
            <w:tcW w:w="1728" w:type="dxa"/>
            <w:vAlign w:val="bottom"/>
          </w:tcPr>
          <w:p w14:paraId="0F13ED95" w14:textId="66DFA1B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Met Office</w:t>
            </w:r>
          </w:p>
        </w:tc>
      </w:tr>
      <w:tr w:rsidR="00012FDF" w:rsidRPr="00851AB2" w14:paraId="15839EC6" w14:textId="77777777" w:rsidTr="00281DB6">
        <w:tc>
          <w:tcPr>
            <w:tcW w:w="2263" w:type="dxa"/>
            <w:vAlign w:val="bottom"/>
          </w:tcPr>
          <w:p w14:paraId="11EC1223" w14:textId="122C5A2F"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Dan Lear (DL)</w:t>
            </w:r>
          </w:p>
        </w:tc>
        <w:tc>
          <w:tcPr>
            <w:tcW w:w="1724" w:type="dxa"/>
            <w:vAlign w:val="bottom"/>
          </w:tcPr>
          <w:p w14:paraId="2880875B" w14:textId="0C06571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DASSH</w:t>
            </w:r>
          </w:p>
        </w:tc>
        <w:tc>
          <w:tcPr>
            <w:tcW w:w="3301" w:type="dxa"/>
            <w:vAlign w:val="bottom"/>
          </w:tcPr>
          <w:p w14:paraId="65D58233" w14:textId="1FD34CF0"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Peter Thijsse (PT)</w:t>
            </w:r>
          </w:p>
        </w:tc>
        <w:tc>
          <w:tcPr>
            <w:tcW w:w="1728" w:type="dxa"/>
            <w:vAlign w:val="bottom"/>
          </w:tcPr>
          <w:p w14:paraId="4AF0DE0E" w14:textId="080EF7E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MARIS</w:t>
            </w:r>
          </w:p>
        </w:tc>
      </w:tr>
      <w:tr w:rsidR="00012FDF" w:rsidRPr="00851AB2" w14:paraId="774580F3" w14:textId="77777777" w:rsidTr="00281DB6">
        <w:tc>
          <w:tcPr>
            <w:tcW w:w="2263" w:type="dxa"/>
            <w:vAlign w:val="bottom"/>
          </w:tcPr>
          <w:p w14:paraId="1CF1B343" w14:textId="0D8AF970"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Louisa Matthews (LM)</w:t>
            </w:r>
          </w:p>
        </w:tc>
        <w:tc>
          <w:tcPr>
            <w:tcW w:w="1724" w:type="dxa"/>
            <w:vAlign w:val="bottom"/>
          </w:tcPr>
          <w:p w14:paraId="7F76C6C3" w14:textId="27900612"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ADS</w:t>
            </w:r>
          </w:p>
        </w:tc>
        <w:tc>
          <w:tcPr>
            <w:tcW w:w="3301" w:type="dxa"/>
            <w:vAlign w:val="bottom"/>
          </w:tcPr>
          <w:p w14:paraId="0AB4143D" w14:textId="77777777" w:rsidR="00012FDF" w:rsidRPr="00851AB2" w:rsidRDefault="00012FDF" w:rsidP="000C0402">
            <w:pPr>
              <w:jc w:val="both"/>
              <w:rPr>
                <w:rFonts w:ascii="Calibri" w:hAnsi="Calibri"/>
                <w:color w:val="000000"/>
                <w:sz w:val="18"/>
                <w:szCs w:val="18"/>
              </w:rPr>
            </w:pPr>
          </w:p>
        </w:tc>
        <w:tc>
          <w:tcPr>
            <w:tcW w:w="1728" w:type="dxa"/>
            <w:vAlign w:val="bottom"/>
          </w:tcPr>
          <w:p w14:paraId="39792321" w14:textId="77777777" w:rsidR="00012FDF" w:rsidRPr="00851AB2" w:rsidRDefault="00012FDF" w:rsidP="000C0402">
            <w:pPr>
              <w:jc w:val="both"/>
              <w:rPr>
                <w:rFonts w:ascii="Calibri" w:hAnsi="Calibri"/>
                <w:color w:val="000000"/>
                <w:sz w:val="18"/>
                <w:szCs w:val="18"/>
              </w:rPr>
            </w:pPr>
          </w:p>
        </w:tc>
      </w:tr>
      <w:tr w:rsidR="00012FDF" w:rsidRPr="00851AB2" w14:paraId="5305577C" w14:textId="77777777" w:rsidTr="008251B1">
        <w:tc>
          <w:tcPr>
            <w:tcW w:w="9016" w:type="dxa"/>
            <w:gridSpan w:val="4"/>
            <w:shd w:val="clear" w:color="auto" w:fill="D9D9D9" w:themeFill="background1" w:themeFillShade="D9"/>
            <w:vAlign w:val="bottom"/>
          </w:tcPr>
          <w:p w14:paraId="3BE172FE" w14:textId="77777777" w:rsidR="00012FDF" w:rsidRPr="00851AB2" w:rsidRDefault="00012FDF" w:rsidP="000C0402">
            <w:pPr>
              <w:jc w:val="both"/>
              <w:rPr>
                <w:rFonts w:ascii="Calibri" w:hAnsi="Calibri"/>
                <w:color w:val="000000"/>
                <w:sz w:val="18"/>
                <w:szCs w:val="18"/>
              </w:rPr>
            </w:pPr>
            <w:r w:rsidRPr="00851AB2">
              <w:rPr>
                <w:b/>
                <w:sz w:val="18"/>
                <w:szCs w:val="18"/>
              </w:rPr>
              <w:t>Apologies</w:t>
            </w:r>
          </w:p>
        </w:tc>
      </w:tr>
      <w:tr w:rsidR="00012FDF" w:rsidRPr="00851AB2" w14:paraId="65BFE2A4" w14:textId="77777777" w:rsidTr="00281DB6">
        <w:tc>
          <w:tcPr>
            <w:tcW w:w="2263" w:type="dxa"/>
            <w:vAlign w:val="bottom"/>
          </w:tcPr>
          <w:p w14:paraId="0EFA0864" w14:textId="7220F2D5"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Paul Henni</w:t>
            </w:r>
          </w:p>
        </w:tc>
        <w:tc>
          <w:tcPr>
            <w:tcW w:w="1724" w:type="dxa"/>
            <w:vAlign w:val="bottom"/>
          </w:tcPr>
          <w:p w14:paraId="29209DBA" w14:textId="7510CB2A"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BGS</w:t>
            </w:r>
          </w:p>
        </w:tc>
        <w:tc>
          <w:tcPr>
            <w:tcW w:w="3301" w:type="dxa"/>
            <w:vAlign w:val="bottom"/>
          </w:tcPr>
          <w:p w14:paraId="634FA14A" w14:textId="730FC87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Kay Thorne</w:t>
            </w:r>
          </w:p>
        </w:tc>
        <w:tc>
          <w:tcPr>
            <w:tcW w:w="1728" w:type="dxa"/>
            <w:vAlign w:val="bottom"/>
          </w:tcPr>
          <w:p w14:paraId="00EB80FC" w14:textId="3F89D15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BODC</w:t>
            </w:r>
          </w:p>
        </w:tc>
      </w:tr>
      <w:tr w:rsidR="00012FDF" w:rsidRPr="00851AB2" w14:paraId="0184E609" w14:textId="77777777" w:rsidTr="00281DB6">
        <w:tc>
          <w:tcPr>
            <w:tcW w:w="2263" w:type="dxa"/>
            <w:vAlign w:val="bottom"/>
          </w:tcPr>
          <w:p w14:paraId="0D669608" w14:textId="788219DE"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Charlotte Miskin-Hymas</w:t>
            </w:r>
          </w:p>
        </w:tc>
        <w:tc>
          <w:tcPr>
            <w:tcW w:w="1724" w:type="dxa"/>
            <w:vAlign w:val="bottom"/>
          </w:tcPr>
          <w:p w14:paraId="339677CA" w14:textId="735752B8"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MEDIN</w:t>
            </w:r>
          </w:p>
        </w:tc>
        <w:tc>
          <w:tcPr>
            <w:tcW w:w="3301" w:type="dxa"/>
            <w:vAlign w:val="bottom"/>
          </w:tcPr>
          <w:p w14:paraId="2E7E53C8" w14:textId="40671435"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Sarah Ward</w:t>
            </w:r>
          </w:p>
        </w:tc>
        <w:tc>
          <w:tcPr>
            <w:tcW w:w="1728" w:type="dxa"/>
            <w:vAlign w:val="bottom"/>
          </w:tcPr>
          <w:p w14:paraId="3F60D980" w14:textId="1E5DEDF7"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UKHO</w:t>
            </w:r>
          </w:p>
        </w:tc>
      </w:tr>
      <w:tr w:rsidR="00012FDF" w:rsidRPr="00851AB2" w14:paraId="16793CD7" w14:textId="77777777" w:rsidTr="00281DB6">
        <w:tc>
          <w:tcPr>
            <w:tcW w:w="2263" w:type="dxa"/>
            <w:vAlign w:val="bottom"/>
          </w:tcPr>
          <w:p w14:paraId="62799546" w14:textId="08EDE00C"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Judith Thomas</w:t>
            </w:r>
          </w:p>
        </w:tc>
        <w:tc>
          <w:tcPr>
            <w:tcW w:w="1724" w:type="dxa"/>
            <w:vAlign w:val="bottom"/>
          </w:tcPr>
          <w:p w14:paraId="6D608C80" w14:textId="73CF38EF"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UKHO</w:t>
            </w:r>
          </w:p>
        </w:tc>
        <w:tc>
          <w:tcPr>
            <w:tcW w:w="3301" w:type="dxa"/>
            <w:vAlign w:val="bottom"/>
          </w:tcPr>
          <w:p w14:paraId="2BFAE949" w14:textId="2A2F60A1" w:rsidR="00012FDF" w:rsidRPr="00851AB2" w:rsidRDefault="00012FDF" w:rsidP="000C0402">
            <w:pPr>
              <w:jc w:val="both"/>
              <w:rPr>
                <w:rFonts w:ascii="Calibri" w:hAnsi="Calibri"/>
                <w:color w:val="000000"/>
                <w:sz w:val="18"/>
                <w:szCs w:val="18"/>
              </w:rPr>
            </w:pPr>
          </w:p>
        </w:tc>
        <w:tc>
          <w:tcPr>
            <w:tcW w:w="1728" w:type="dxa"/>
            <w:vAlign w:val="bottom"/>
          </w:tcPr>
          <w:p w14:paraId="53D466D1" w14:textId="4715CB91" w:rsidR="00012FDF" w:rsidRPr="00851AB2" w:rsidRDefault="00012FDF" w:rsidP="000C0402">
            <w:pPr>
              <w:jc w:val="both"/>
              <w:rPr>
                <w:rFonts w:ascii="Calibri" w:hAnsi="Calibri"/>
                <w:color w:val="000000"/>
                <w:sz w:val="18"/>
                <w:szCs w:val="18"/>
              </w:rPr>
            </w:pPr>
          </w:p>
        </w:tc>
      </w:tr>
    </w:tbl>
    <w:p w14:paraId="112B9149" w14:textId="77777777" w:rsidR="004609E8" w:rsidRPr="0056566F" w:rsidRDefault="004609E8" w:rsidP="000C0402">
      <w:pPr>
        <w:spacing w:after="0" w:line="240" w:lineRule="auto"/>
        <w:ind w:right="453"/>
        <w:jc w:val="both"/>
        <w:rPr>
          <w:b/>
          <w:sz w:val="24"/>
          <w:szCs w:val="24"/>
        </w:rPr>
      </w:pPr>
    </w:p>
    <w:p w14:paraId="4F7154BE" w14:textId="77777777" w:rsidR="007428ED" w:rsidRPr="00F705FB" w:rsidRDefault="00EB536B" w:rsidP="000C0402">
      <w:pPr>
        <w:pStyle w:val="ListParagraph"/>
        <w:numPr>
          <w:ilvl w:val="0"/>
          <w:numId w:val="1"/>
        </w:numPr>
        <w:spacing w:after="0" w:line="240" w:lineRule="auto"/>
        <w:ind w:left="426" w:right="453" w:hanging="426"/>
        <w:contextualSpacing w:val="0"/>
        <w:jc w:val="both"/>
        <w:rPr>
          <w:b/>
          <w:sz w:val="24"/>
          <w:szCs w:val="24"/>
        </w:rPr>
      </w:pPr>
      <w:r w:rsidRPr="00F705FB">
        <w:rPr>
          <w:b/>
          <w:sz w:val="24"/>
          <w:szCs w:val="24"/>
        </w:rPr>
        <w:t xml:space="preserve">Round table introductions </w:t>
      </w:r>
    </w:p>
    <w:p w14:paraId="49CCD1D8" w14:textId="5023F1CD" w:rsidR="007428ED" w:rsidRDefault="0081408C" w:rsidP="000C0402">
      <w:pPr>
        <w:spacing w:line="240" w:lineRule="auto"/>
        <w:ind w:left="426"/>
        <w:jc w:val="both"/>
      </w:pPr>
      <w:r>
        <w:t>The meeting started with everybody introducing</w:t>
      </w:r>
      <w:r w:rsidR="00F8311E">
        <w:t xml:space="preserve"> themselves.</w:t>
      </w:r>
      <w:r w:rsidR="00C86FA6">
        <w:t xml:space="preserve"> Welcome to new members: Martyn Sunter, </w:t>
      </w:r>
      <w:r w:rsidR="00DF2BBB">
        <w:t>temporarily</w:t>
      </w:r>
      <w:r w:rsidR="00C86FA6">
        <w:t xml:space="preserve"> representing the Met Office; James Cook</w:t>
      </w:r>
      <w:r w:rsidR="00490451">
        <w:t>e</w:t>
      </w:r>
      <w:r w:rsidR="00C86FA6">
        <w:t xml:space="preserve"> and Chris Perring representing UKHO</w:t>
      </w:r>
      <w:r w:rsidR="00DF2BBB">
        <w:t>;</w:t>
      </w:r>
      <w:r w:rsidR="00C86FA6">
        <w:t xml:space="preserve"> Gareth Burns representing AFBI.</w:t>
      </w:r>
    </w:p>
    <w:p w14:paraId="519B169F" w14:textId="77777777" w:rsidR="00A44A23" w:rsidRDefault="00A44A23" w:rsidP="000C0402">
      <w:pPr>
        <w:spacing w:line="240" w:lineRule="auto"/>
        <w:ind w:left="426"/>
        <w:jc w:val="both"/>
      </w:pPr>
    </w:p>
    <w:p w14:paraId="45BFB2B8" w14:textId="77777777" w:rsidR="00A44A23" w:rsidRDefault="00A44A23" w:rsidP="000C0402">
      <w:pPr>
        <w:pStyle w:val="ListParagraph"/>
        <w:numPr>
          <w:ilvl w:val="0"/>
          <w:numId w:val="1"/>
        </w:numPr>
        <w:spacing w:after="0" w:line="240" w:lineRule="auto"/>
        <w:ind w:left="426" w:hanging="426"/>
        <w:contextualSpacing w:val="0"/>
        <w:jc w:val="both"/>
        <w:rPr>
          <w:b/>
          <w:sz w:val="24"/>
          <w:szCs w:val="24"/>
        </w:rPr>
      </w:pPr>
      <w:r>
        <w:rPr>
          <w:b/>
          <w:sz w:val="24"/>
          <w:szCs w:val="24"/>
        </w:rPr>
        <w:t>Review actions last meeting</w:t>
      </w:r>
    </w:p>
    <w:p w14:paraId="66381854" w14:textId="77777777" w:rsidR="00AF4F92" w:rsidRPr="00AF4F92" w:rsidRDefault="00AF4F92" w:rsidP="000C0402">
      <w:pPr>
        <w:spacing w:after="0" w:line="240" w:lineRule="auto"/>
        <w:jc w:val="both"/>
        <w:rPr>
          <w:b/>
          <w:sz w:val="24"/>
          <w:szCs w:val="24"/>
        </w:rPr>
      </w:pPr>
    </w:p>
    <w:p w14:paraId="110A4667" w14:textId="0F109249" w:rsidR="00AF4F92" w:rsidRDefault="00AF4F92" w:rsidP="000C0402">
      <w:pPr>
        <w:spacing w:after="0" w:line="240" w:lineRule="auto"/>
        <w:jc w:val="both"/>
      </w:pPr>
      <w:r>
        <w:rPr>
          <w:b/>
        </w:rPr>
        <w:t xml:space="preserve">Table 1: </w:t>
      </w:r>
      <w:r w:rsidRPr="00AF4F92">
        <w:t xml:space="preserve">Actions from DAC </w:t>
      </w:r>
      <w:r>
        <w:t xml:space="preserve">WG </w:t>
      </w:r>
      <w:r w:rsidRPr="00AF4F92">
        <w:t>meeting</w:t>
      </w:r>
      <w:r w:rsidR="00B74719">
        <w:t xml:space="preserve"> on 15</w:t>
      </w:r>
      <w:r w:rsidR="00B74719" w:rsidRPr="00B74719">
        <w:rPr>
          <w:vertAlign w:val="superscript"/>
        </w:rPr>
        <w:t>th</w:t>
      </w:r>
      <w:r w:rsidR="00B74719">
        <w:t xml:space="preserve"> June 2017</w:t>
      </w:r>
    </w:p>
    <w:tbl>
      <w:tblPr>
        <w:tblStyle w:val="TableGrid"/>
        <w:tblW w:w="0" w:type="auto"/>
        <w:tblLook w:val="04A0" w:firstRow="1" w:lastRow="0" w:firstColumn="1" w:lastColumn="0" w:noHBand="0" w:noVBand="1"/>
      </w:tblPr>
      <w:tblGrid>
        <w:gridCol w:w="604"/>
        <w:gridCol w:w="5709"/>
        <w:gridCol w:w="2703"/>
      </w:tblGrid>
      <w:tr w:rsidR="004F0CBC" w:rsidRPr="001F3B8F" w14:paraId="4C71BEB0" w14:textId="77777777" w:rsidTr="00B74719">
        <w:tc>
          <w:tcPr>
            <w:tcW w:w="9016" w:type="dxa"/>
            <w:gridSpan w:val="3"/>
          </w:tcPr>
          <w:p w14:paraId="55CA497A" w14:textId="50E822C4" w:rsidR="004F0CBC" w:rsidRDefault="004F0CBC" w:rsidP="000C0402">
            <w:pPr>
              <w:jc w:val="both"/>
              <w:rPr>
                <w:b/>
                <w:sz w:val="18"/>
                <w:szCs w:val="18"/>
              </w:rPr>
            </w:pPr>
            <w:r w:rsidRPr="001F3B8F">
              <w:rPr>
                <w:b/>
              </w:rPr>
              <w:t xml:space="preserve">New actions from </w:t>
            </w:r>
            <w:r>
              <w:rPr>
                <w:b/>
              </w:rPr>
              <w:t xml:space="preserve">DAC WG meeting </w:t>
            </w:r>
            <w:r w:rsidR="00B74719">
              <w:rPr>
                <w:b/>
              </w:rPr>
              <w:t>15</w:t>
            </w:r>
            <w:r w:rsidR="00B74719" w:rsidRPr="00B74719">
              <w:rPr>
                <w:b/>
                <w:vertAlign w:val="superscript"/>
              </w:rPr>
              <w:t>th</w:t>
            </w:r>
            <w:r w:rsidR="00B74719">
              <w:rPr>
                <w:b/>
              </w:rPr>
              <w:t xml:space="preserve"> June 2017</w:t>
            </w:r>
          </w:p>
        </w:tc>
      </w:tr>
      <w:tr w:rsidR="004F0CBC" w:rsidRPr="001F3B8F" w14:paraId="5D62E711" w14:textId="77777777" w:rsidTr="00B74719">
        <w:tc>
          <w:tcPr>
            <w:tcW w:w="6313" w:type="dxa"/>
            <w:gridSpan w:val="2"/>
          </w:tcPr>
          <w:p w14:paraId="42AD38F5" w14:textId="77777777" w:rsidR="004F0CBC" w:rsidRPr="004D47AB" w:rsidRDefault="004F0CBC" w:rsidP="000C0402">
            <w:pPr>
              <w:jc w:val="both"/>
              <w:rPr>
                <w:sz w:val="18"/>
                <w:szCs w:val="18"/>
              </w:rPr>
            </w:pPr>
            <w:r w:rsidRPr="001F3B8F">
              <w:rPr>
                <w:b/>
                <w:sz w:val="18"/>
                <w:szCs w:val="18"/>
              </w:rPr>
              <w:t>Action</w:t>
            </w:r>
          </w:p>
        </w:tc>
        <w:tc>
          <w:tcPr>
            <w:tcW w:w="2703" w:type="dxa"/>
          </w:tcPr>
          <w:p w14:paraId="0A6EF2BD" w14:textId="77777777" w:rsidR="004F0CBC" w:rsidRPr="002F364A" w:rsidRDefault="004F0CBC" w:rsidP="000C0402">
            <w:pPr>
              <w:jc w:val="both"/>
              <w:rPr>
                <w:sz w:val="18"/>
                <w:szCs w:val="18"/>
              </w:rPr>
            </w:pPr>
            <w:r>
              <w:rPr>
                <w:b/>
                <w:sz w:val="18"/>
                <w:szCs w:val="18"/>
              </w:rPr>
              <w:t>Progress</w:t>
            </w:r>
          </w:p>
        </w:tc>
      </w:tr>
      <w:tr w:rsidR="00B74719" w:rsidRPr="001F3B8F" w14:paraId="3C6463E5" w14:textId="77777777" w:rsidTr="00B74719">
        <w:tc>
          <w:tcPr>
            <w:tcW w:w="604" w:type="dxa"/>
          </w:tcPr>
          <w:p w14:paraId="11F51403" w14:textId="0F80FAC1" w:rsidR="00B74719" w:rsidRPr="001F3B8F" w:rsidRDefault="00B74719" w:rsidP="000C0402">
            <w:pPr>
              <w:jc w:val="both"/>
              <w:rPr>
                <w:sz w:val="18"/>
                <w:szCs w:val="18"/>
              </w:rPr>
            </w:pPr>
            <w:r w:rsidRPr="004C2810">
              <w:rPr>
                <w:sz w:val="18"/>
                <w:szCs w:val="18"/>
              </w:rPr>
              <w:t>6.1</w:t>
            </w:r>
          </w:p>
        </w:tc>
        <w:tc>
          <w:tcPr>
            <w:tcW w:w="5709" w:type="dxa"/>
          </w:tcPr>
          <w:p w14:paraId="6220794E" w14:textId="77777777" w:rsidR="00B74719" w:rsidRPr="004C2810" w:rsidRDefault="00B74719" w:rsidP="000C0402">
            <w:pPr>
              <w:jc w:val="both"/>
              <w:rPr>
                <w:sz w:val="18"/>
                <w:szCs w:val="18"/>
              </w:rPr>
            </w:pPr>
            <w:r w:rsidRPr="00DF760B">
              <w:rPr>
                <w:b/>
                <w:sz w:val="18"/>
                <w:szCs w:val="18"/>
              </w:rPr>
              <w:t>Clare Postlethwaite</w:t>
            </w:r>
            <w:r w:rsidRPr="004C2810">
              <w:rPr>
                <w:sz w:val="18"/>
                <w:szCs w:val="18"/>
              </w:rPr>
              <w:t xml:space="preserve"> to ensure UKDMOS/MEDIN document is made available on MEDIN website once finalised.</w:t>
            </w:r>
          </w:p>
          <w:p w14:paraId="020D847F" w14:textId="77777777" w:rsidR="00B74719" w:rsidRPr="00F94E2C" w:rsidRDefault="00B74719" w:rsidP="000C0402">
            <w:pPr>
              <w:jc w:val="both"/>
              <w:rPr>
                <w:sz w:val="18"/>
                <w:szCs w:val="18"/>
              </w:rPr>
            </w:pPr>
          </w:p>
        </w:tc>
        <w:tc>
          <w:tcPr>
            <w:tcW w:w="2703" w:type="dxa"/>
          </w:tcPr>
          <w:p w14:paraId="5BA0A199" w14:textId="37274A7C" w:rsidR="00B74719" w:rsidRPr="002F364A" w:rsidRDefault="00B74719" w:rsidP="000C0402">
            <w:pPr>
              <w:jc w:val="both"/>
              <w:rPr>
                <w:sz w:val="18"/>
                <w:szCs w:val="18"/>
              </w:rPr>
            </w:pPr>
            <w:r>
              <w:rPr>
                <w:sz w:val="18"/>
                <w:szCs w:val="18"/>
              </w:rPr>
              <w:t>Ongoing – document finalised, not yet on website due to staff changes in MEDIN team</w:t>
            </w:r>
          </w:p>
        </w:tc>
      </w:tr>
      <w:tr w:rsidR="00B74719" w:rsidRPr="001F3B8F" w14:paraId="7D9D2418" w14:textId="77777777" w:rsidTr="00B74719">
        <w:tc>
          <w:tcPr>
            <w:tcW w:w="604" w:type="dxa"/>
          </w:tcPr>
          <w:p w14:paraId="72591597" w14:textId="12DA9236" w:rsidR="00B74719" w:rsidRPr="001F3B8F" w:rsidRDefault="00B74719" w:rsidP="000C0402">
            <w:pPr>
              <w:jc w:val="both"/>
              <w:rPr>
                <w:sz w:val="18"/>
                <w:szCs w:val="18"/>
              </w:rPr>
            </w:pPr>
            <w:r w:rsidRPr="004C2810">
              <w:rPr>
                <w:sz w:val="18"/>
                <w:szCs w:val="18"/>
              </w:rPr>
              <w:t>6.2</w:t>
            </w:r>
          </w:p>
        </w:tc>
        <w:tc>
          <w:tcPr>
            <w:tcW w:w="5709" w:type="dxa"/>
          </w:tcPr>
          <w:p w14:paraId="6627D22B" w14:textId="77777777" w:rsidR="00B74719" w:rsidRPr="004C2810" w:rsidRDefault="00B74719" w:rsidP="000C0402">
            <w:pPr>
              <w:jc w:val="both"/>
              <w:rPr>
                <w:sz w:val="18"/>
                <w:szCs w:val="18"/>
              </w:rPr>
            </w:pPr>
            <w:r w:rsidRPr="00DF760B">
              <w:rPr>
                <w:b/>
                <w:sz w:val="18"/>
                <w:szCs w:val="18"/>
              </w:rPr>
              <w:t>Robin McCandliss, Jens Rasmussen and Mary Brown</w:t>
            </w:r>
            <w:r w:rsidRPr="004C2810">
              <w:rPr>
                <w:sz w:val="18"/>
                <w:szCs w:val="18"/>
              </w:rPr>
              <w:t xml:space="preserve"> to liaise regarding FishDAC reaccreditation, to allow for a joint submission in 2017/18. </w:t>
            </w:r>
          </w:p>
          <w:p w14:paraId="5E9E340B" w14:textId="77777777" w:rsidR="00B74719" w:rsidRPr="00F94E2C" w:rsidRDefault="00B74719" w:rsidP="000C0402">
            <w:pPr>
              <w:jc w:val="both"/>
              <w:rPr>
                <w:sz w:val="18"/>
                <w:szCs w:val="18"/>
              </w:rPr>
            </w:pPr>
          </w:p>
        </w:tc>
        <w:tc>
          <w:tcPr>
            <w:tcW w:w="2703" w:type="dxa"/>
          </w:tcPr>
          <w:p w14:paraId="763F834D" w14:textId="20B6B070" w:rsidR="00B74719" w:rsidRPr="002F364A" w:rsidRDefault="00B74719" w:rsidP="000C0402">
            <w:pPr>
              <w:jc w:val="both"/>
              <w:rPr>
                <w:sz w:val="18"/>
                <w:szCs w:val="18"/>
              </w:rPr>
            </w:pPr>
            <w:r>
              <w:rPr>
                <w:sz w:val="18"/>
                <w:szCs w:val="18"/>
              </w:rPr>
              <w:t>Done</w:t>
            </w:r>
          </w:p>
        </w:tc>
      </w:tr>
      <w:tr w:rsidR="00B74719" w:rsidRPr="001F3B8F" w14:paraId="5175591F" w14:textId="77777777" w:rsidTr="00B74719">
        <w:tc>
          <w:tcPr>
            <w:tcW w:w="604" w:type="dxa"/>
          </w:tcPr>
          <w:p w14:paraId="107EA821" w14:textId="1B9B72FC" w:rsidR="00B74719" w:rsidRPr="001F3B8F" w:rsidRDefault="00B74719" w:rsidP="000C0402">
            <w:pPr>
              <w:jc w:val="both"/>
              <w:rPr>
                <w:sz w:val="18"/>
                <w:szCs w:val="18"/>
              </w:rPr>
            </w:pPr>
            <w:r w:rsidRPr="004C2810">
              <w:rPr>
                <w:sz w:val="18"/>
                <w:szCs w:val="18"/>
              </w:rPr>
              <w:t>6.3</w:t>
            </w:r>
          </w:p>
        </w:tc>
        <w:tc>
          <w:tcPr>
            <w:tcW w:w="5709" w:type="dxa"/>
          </w:tcPr>
          <w:p w14:paraId="6604B3C2" w14:textId="3596ED29" w:rsidR="00B74719" w:rsidRPr="00F94E2C" w:rsidRDefault="00B74719" w:rsidP="000C0402">
            <w:pPr>
              <w:jc w:val="both"/>
              <w:rPr>
                <w:sz w:val="18"/>
                <w:szCs w:val="18"/>
              </w:rPr>
            </w:pPr>
            <w:r w:rsidRPr="00DF760B">
              <w:rPr>
                <w:b/>
                <w:sz w:val="18"/>
                <w:szCs w:val="18"/>
              </w:rPr>
              <w:t>Lesley Rickards</w:t>
            </w:r>
            <w:r w:rsidRPr="004C2810">
              <w:rPr>
                <w:sz w:val="18"/>
                <w:szCs w:val="18"/>
              </w:rPr>
              <w:t xml:space="preserve"> to initiate an email discussion to redefine/clarify the metrics we report for the DACs, to ask for what web tools different DACs are using</w:t>
            </w:r>
            <w:r>
              <w:rPr>
                <w:sz w:val="18"/>
                <w:szCs w:val="18"/>
              </w:rPr>
              <w:t xml:space="preserve"> to pull out their stats (e.g. G</w:t>
            </w:r>
            <w:r w:rsidRPr="004C2810">
              <w:rPr>
                <w:sz w:val="18"/>
                <w:szCs w:val="18"/>
              </w:rPr>
              <w:t>oogle analytics etc.), and to report back at next DAC WG meeting.</w:t>
            </w:r>
          </w:p>
        </w:tc>
        <w:tc>
          <w:tcPr>
            <w:tcW w:w="2703" w:type="dxa"/>
          </w:tcPr>
          <w:p w14:paraId="5D70F50A" w14:textId="0296A47A" w:rsidR="00B74719" w:rsidRPr="002F364A" w:rsidRDefault="00B74719" w:rsidP="000C0402">
            <w:pPr>
              <w:jc w:val="both"/>
              <w:rPr>
                <w:sz w:val="18"/>
                <w:szCs w:val="18"/>
              </w:rPr>
            </w:pPr>
            <w:r>
              <w:rPr>
                <w:sz w:val="18"/>
                <w:szCs w:val="18"/>
              </w:rPr>
              <w:t>Done – on agenda</w:t>
            </w:r>
          </w:p>
        </w:tc>
      </w:tr>
      <w:tr w:rsidR="00B74719" w:rsidRPr="001F3B8F" w14:paraId="44DAB5D7" w14:textId="77777777" w:rsidTr="00B74719">
        <w:tc>
          <w:tcPr>
            <w:tcW w:w="604" w:type="dxa"/>
          </w:tcPr>
          <w:p w14:paraId="1DE8E7F6" w14:textId="7A151FE6" w:rsidR="00B74719" w:rsidRPr="001F3B8F" w:rsidRDefault="00B74719" w:rsidP="000C0402">
            <w:pPr>
              <w:jc w:val="both"/>
              <w:rPr>
                <w:sz w:val="18"/>
                <w:szCs w:val="18"/>
              </w:rPr>
            </w:pPr>
            <w:r w:rsidRPr="004C2810">
              <w:rPr>
                <w:sz w:val="18"/>
                <w:szCs w:val="18"/>
              </w:rPr>
              <w:t>6.4</w:t>
            </w:r>
          </w:p>
        </w:tc>
        <w:tc>
          <w:tcPr>
            <w:tcW w:w="5709" w:type="dxa"/>
          </w:tcPr>
          <w:p w14:paraId="0B1778D9" w14:textId="1775AAE0" w:rsidR="00B74719" w:rsidRPr="00F94E2C" w:rsidRDefault="00B74719" w:rsidP="000C0402">
            <w:pPr>
              <w:jc w:val="both"/>
              <w:rPr>
                <w:sz w:val="18"/>
                <w:szCs w:val="18"/>
              </w:rPr>
            </w:pPr>
            <w:r w:rsidRPr="00DF760B">
              <w:rPr>
                <w:b/>
                <w:sz w:val="18"/>
                <w:szCs w:val="18"/>
              </w:rPr>
              <w:t>Fraser Cunningham</w:t>
            </w:r>
            <w:r w:rsidRPr="004C2810">
              <w:rPr>
                <w:sz w:val="18"/>
                <w:szCs w:val="18"/>
              </w:rPr>
              <w:t xml:space="preserve"> (Met Office) and </w:t>
            </w:r>
            <w:r w:rsidRPr="00DF760B">
              <w:rPr>
                <w:b/>
                <w:sz w:val="18"/>
                <w:szCs w:val="18"/>
              </w:rPr>
              <w:t>Louisa Matthews</w:t>
            </w:r>
            <w:r w:rsidRPr="004C2810">
              <w:rPr>
                <w:sz w:val="18"/>
                <w:szCs w:val="18"/>
              </w:rPr>
              <w:t xml:space="preserve"> (ADS) to check whether any their data comes under INSPIRE.</w:t>
            </w:r>
          </w:p>
        </w:tc>
        <w:tc>
          <w:tcPr>
            <w:tcW w:w="2703" w:type="dxa"/>
          </w:tcPr>
          <w:p w14:paraId="1E83E451" w14:textId="2E1BE7B6" w:rsidR="00B74719" w:rsidRPr="002F364A" w:rsidRDefault="00B74719" w:rsidP="000C0402">
            <w:pPr>
              <w:jc w:val="both"/>
              <w:rPr>
                <w:sz w:val="18"/>
                <w:szCs w:val="18"/>
              </w:rPr>
            </w:pPr>
            <w:r>
              <w:rPr>
                <w:sz w:val="18"/>
                <w:szCs w:val="18"/>
              </w:rPr>
              <w:t>Done</w:t>
            </w:r>
          </w:p>
        </w:tc>
      </w:tr>
      <w:tr w:rsidR="00B74719" w:rsidRPr="001F3B8F" w14:paraId="11B79A2A" w14:textId="77777777" w:rsidTr="00B74719">
        <w:tc>
          <w:tcPr>
            <w:tcW w:w="604" w:type="dxa"/>
          </w:tcPr>
          <w:p w14:paraId="157EDEB6" w14:textId="182911A5" w:rsidR="00B74719" w:rsidRPr="001F3B8F" w:rsidRDefault="00B74719" w:rsidP="000C0402">
            <w:pPr>
              <w:jc w:val="both"/>
              <w:rPr>
                <w:sz w:val="18"/>
                <w:szCs w:val="18"/>
              </w:rPr>
            </w:pPr>
            <w:r w:rsidRPr="004C2810">
              <w:rPr>
                <w:sz w:val="18"/>
                <w:szCs w:val="18"/>
              </w:rPr>
              <w:t>6.5</w:t>
            </w:r>
          </w:p>
        </w:tc>
        <w:tc>
          <w:tcPr>
            <w:tcW w:w="5709" w:type="dxa"/>
          </w:tcPr>
          <w:p w14:paraId="3F32AB48" w14:textId="7A96983E" w:rsidR="00B74719" w:rsidRPr="00F94E2C" w:rsidRDefault="00B74719" w:rsidP="000C0402">
            <w:pPr>
              <w:jc w:val="both"/>
              <w:rPr>
                <w:sz w:val="18"/>
                <w:szCs w:val="18"/>
              </w:rPr>
            </w:pPr>
            <w:r w:rsidRPr="00DF760B">
              <w:rPr>
                <w:b/>
                <w:sz w:val="18"/>
                <w:szCs w:val="18"/>
              </w:rPr>
              <w:t>Lesley Rickards</w:t>
            </w:r>
            <w:r w:rsidRPr="004C2810">
              <w:rPr>
                <w:sz w:val="18"/>
                <w:szCs w:val="18"/>
              </w:rPr>
              <w:t xml:space="preserve"> to add a column for clarifications and ask all DACs to update the table along with explanations in the clarifications column.</w:t>
            </w:r>
          </w:p>
        </w:tc>
        <w:tc>
          <w:tcPr>
            <w:tcW w:w="2703" w:type="dxa"/>
          </w:tcPr>
          <w:p w14:paraId="15E1C7B8" w14:textId="7CBC8597" w:rsidR="00B74719" w:rsidRPr="002F364A" w:rsidRDefault="00B74719" w:rsidP="000C0402">
            <w:pPr>
              <w:jc w:val="both"/>
              <w:rPr>
                <w:sz w:val="18"/>
                <w:szCs w:val="18"/>
              </w:rPr>
            </w:pPr>
            <w:r>
              <w:rPr>
                <w:sz w:val="18"/>
                <w:szCs w:val="18"/>
              </w:rPr>
              <w:t>Done</w:t>
            </w:r>
          </w:p>
        </w:tc>
      </w:tr>
      <w:tr w:rsidR="00B74719" w:rsidRPr="001F3B8F" w14:paraId="040D3630" w14:textId="77777777" w:rsidTr="00B74719">
        <w:tc>
          <w:tcPr>
            <w:tcW w:w="604" w:type="dxa"/>
          </w:tcPr>
          <w:p w14:paraId="4BA1F933" w14:textId="7E5B704A" w:rsidR="00B74719" w:rsidRPr="001F3B8F" w:rsidRDefault="00B74719" w:rsidP="000C0402">
            <w:pPr>
              <w:jc w:val="both"/>
              <w:rPr>
                <w:sz w:val="18"/>
                <w:szCs w:val="18"/>
              </w:rPr>
            </w:pPr>
            <w:r w:rsidRPr="004C2810">
              <w:rPr>
                <w:sz w:val="18"/>
                <w:szCs w:val="18"/>
              </w:rPr>
              <w:t>6.6</w:t>
            </w:r>
          </w:p>
        </w:tc>
        <w:tc>
          <w:tcPr>
            <w:tcW w:w="5709" w:type="dxa"/>
          </w:tcPr>
          <w:p w14:paraId="1FE1FF5B" w14:textId="14EFCB22" w:rsidR="00B74719" w:rsidRPr="00F94E2C" w:rsidRDefault="00B74719" w:rsidP="000C0402">
            <w:pPr>
              <w:jc w:val="both"/>
              <w:rPr>
                <w:sz w:val="18"/>
                <w:szCs w:val="18"/>
              </w:rPr>
            </w:pPr>
            <w:r w:rsidRPr="00DF760B">
              <w:rPr>
                <w:b/>
                <w:sz w:val="18"/>
                <w:szCs w:val="18"/>
              </w:rPr>
              <w:t>Mary Mowat</w:t>
            </w:r>
            <w:r w:rsidRPr="004C2810">
              <w:rPr>
                <w:sz w:val="18"/>
                <w:szCs w:val="18"/>
              </w:rPr>
              <w:t xml:space="preserve"> to consult with UKHO about where resource locators in the MEDIN catalogue should point to for data that are held both at BGS and UKHO.</w:t>
            </w:r>
          </w:p>
        </w:tc>
        <w:tc>
          <w:tcPr>
            <w:tcW w:w="2703" w:type="dxa"/>
          </w:tcPr>
          <w:p w14:paraId="3C0E1A21" w14:textId="38F0CD8B" w:rsidR="00B74719" w:rsidRPr="002F364A" w:rsidRDefault="00B74719" w:rsidP="000C0402">
            <w:pPr>
              <w:jc w:val="both"/>
              <w:rPr>
                <w:sz w:val="18"/>
                <w:szCs w:val="18"/>
              </w:rPr>
            </w:pPr>
            <w:r>
              <w:rPr>
                <w:sz w:val="18"/>
                <w:szCs w:val="18"/>
              </w:rPr>
              <w:t>Ongoing</w:t>
            </w:r>
          </w:p>
        </w:tc>
      </w:tr>
      <w:tr w:rsidR="00B74719" w:rsidRPr="001F3B8F" w14:paraId="236E4524" w14:textId="77777777" w:rsidTr="00B74719">
        <w:tc>
          <w:tcPr>
            <w:tcW w:w="604" w:type="dxa"/>
          </w:tcPr>
          <w:p w14:paraId="09E48CE2" w14:textId="4E50A1C1" w:rsidR="00B74719" w:rsidRPr="001F3B8F" w:rsidRDefault="00B74719" w:rsidP="000C0402">
            <w:pPr>
              <w:jc w:val="both"/>
              <w:rPr>
                <w:sz w:val="18"/>
                <w:szCs w:val="18"/>
              </w:rPr>
            </w:pPr>
            <w:r w:rsidRPr="004C2810">
              <w:rPr>
                <w:sz w:val="18"/>
                <w:szCs w:val="18"/>
              </w:rPr>
              <w:t>6.7</w:t>
            </w:r>
          </w:p>
        </w:tc>
        <w:tc>
          <w:tcPr>
            <w:tcW w:w="5709" w:type="dxa"/>
          </w:tcPr>
          <w:p w14:paraId="1FFD6B7B" w14:textId="065A511E" w:rsidR="00B74719" w:rsidRPr="00F94E2C" w:rsidRDefault="00B74719" w:rsidP="000C0402">
            <w:pPr>
              <w:jc w:val="both"/>
              <w:rPr>
                <w:sz w:val="18"/>
                <w:szCs w:val="18"/>
              </w:rPr>
            </w:pPr>
            <w:r w:rsidRPr="00DF760B">
              <w:rPr>
                <w:b/>
                <w:sz w:val="18"/>
                <w:szCs w:val="18"/>
              </w:rPr>
              <w:t>Clare Postlethwaite</w:t>
            </w:r>
            <w:r w:rsidRPr="004C2810">
              <w:rPr>
                <w:sz w:val="18"/>
                <w:szCs w:val="18"/>
              </w:rPr>
              <w:t xml:space="preserve"> to include adoption of wider accreditation scheme for DACs in next MEDIN Business Plan.</w:t>
            </w:r>
          </w:p>
        </w:tc>
        <w:tc>
          <w:tcPr>
            <w:tcW w:w="2703" w:type="dxa"/>
          </w:tcPr>
          <w:p w14:paraId="58111C0F" w14:textId="4A4FE71A" w:rsidR="00B74719" w:rsidRPr="002F364A" w:rsidRDefault="00B74719" w:rsidP="000C0402">
            <w:pPr>
              <w:jc w:val="both"/>
              <w:rPr>
                <w:sz w:val="18"/>
                <w:szCs w:val="18"/>
              </w:rPr>
            </w:pPr>
            <w:r>
              <w:rPr>
                <w:sz w:val="18"/>
                <w:szCs w:val="18"/>
              </w:rPr>
              <w:t xml:space="preserve">On agenda </w:t>
            </w:r>
            <w:r w:rsidR="00DD35E4">
              <w:rPr>
                <w:sz w:val="18"/>
                <w:szCs w:val="18"/>
              </w:rPr>
              <w:t xml:space="preserve">for next Business Plan </w:t>
            </w:r>
            <w:r>
              <w:rPr>
                <w:sz w:val="18"/>
                <w:szCs w:val="18"/>
              </w:rPr>
              <w:t>- closed</w:t>
            </w:r>
          </w:p>
        </w:tc>
      </w:tr>
      <w:tr w:rsidR="00B74719" w:rsidRPr="001F3B8F" w14:paraId="1C39F760" w14:textId="77777777" w:rsidTr="00B74719">
        <w:tc>
          <w:tcPr>
            <w:tcW w:w="604" w:type="dxa"/>
          </w:tcPr>
          <w:p w14:paraId="585F39D0" w14:textId="51E6A3DE" w:rsidR="00B74719" w:rsidRPr="001F3B8F" w:rsidRDefault="00B74719" w:rsidP="000C0402">
            <w:pPr>
              <w:jc w:val="both"/>
              <w:rPr>
                <w:sz w:val="18"/>
                <w:szCs w:val="18"/>
              </w:rPr>
            </w:pPr>
            <w:r w:rsidRPr="004C2810">
              <w:rPr>
                <w:sz w:val="18"/>
                <w:szCs w:val="18"/>
              </w:rPr>
              <w:t>6.8</w:t>
            </w:r>
          </w:p>
        </w:tc>
        <w:tc>
          <w:tcPr>
            <w:tcW w:w="5709" w:type="dxa"/>
          </w:tcPr>
          <w:p w14:paraId="5839C231" w14:textId="18296FCA" w:rsidR="00B74719" w:rsidRPr="00F94E2C" w:rsidRDefault="00B74719" w:rsidP="000C0402">
            <w:pPr>
              <w:jc w:val="both"/>
              <w:rPr>
                <w:sz w:val="18"/>
                <w:szCs w:val="18"/>
              </w:rPr>
            </w:pPr>
            <w:r w:rsidRPr="00DF760B">
              <w:rPr>
                <w:b/>
                <w:sz w:val="18"/>
                <w:szCs w:val="18"/>
              </w:rPr>
              <w:t>Jon Parr</w:t>
            </w:r>
            <w:r w:rsidRPr="004C2810">
              <w:rPr>
                <w:sz w:val="18"/>
                <w:szCs w:val="18"/>
              </w:rPr>
              <w:t xml:space="preserve"> to look at DAC Work Plan 2017/18 and update with terms that give it more zing.</w:t>
            </w:r>
          </w:p>
        </w:tc>
        <w:tc>
          <w:tcPr>
            <w:tcW w:w="2703" w:type="dxa"/>
          </w:tcPr>
          <w:p w14:paraId="3ADBC5A4" w14:textId="08B260B1" w:rsidR="00B74719" w:rsidRPr="002F364A" w:rsidRDefault="00B74719" w:rsidP="000C0402">
            <w:pPr>
              <w:jc w:val="both"/>
              <w:rPr>
                <w:sz w:val="18"/>
                <w:szCs w:val="18"/>
              </w:rPr>
            </w:pPr>
            <w:r>
              <w:rPr>
                <w:sz w:val="18"/>
                <w:szCs w:val="18"/>
              </w:rPr>
              <w:t>Done</w:t>
            </w:r>
          </w:p>
        </w:tc>
      </w:tr>
      <w:tr w:rsidR="00B74719" w:rsidRPr="001F3B8F" w14:paraId="1CDDDC3E" w14:textId="77777777" w:rsidTr="00B74719">
        <w:tc>
          <w:tcPr>
            <w:tcW w:w="604" w:type="dxa"/>
          </w:tcPr>
          <w:p w14:paraId="76D3ECB2" w14:textId="3E3424A4" w:rsidR="00B74719" w:rsidRPr="001F3B8F" w:rsidRDefault="00B74719" w:rsidP="000C0402">
            <w:pPr>
              <w:jc w:val="both"/>
              <w:rPr>
                <w:sz w:val="18"/>
                <w:szCs w:val="18"/>
              </w:rPr>
            </w:pPr>
            <w:r w:rsidRPr="004C2810">
              <w:rPr>
                <w:sz w:val="18"/>
                <w:szCs w:val="18"/>
              </w:rPr>
              <w:t>6.9</w:t>
            </w:r>
          </w:p>
        </w:tc>
        <w:tc>
          <w:tcPr>
            <w:tcW w:w="5709" w:type="dxa"/>
          </w:tcPr>
          <w:p w14:paraId="3B2C6C2A" w14:textId="716E8636" w:rsidR="00B74719" w:rsidRPr="00F94E2C" w:rsidRDefault="00B74719" w:rsidP="000C0402">
            <w:pPr>
              <w:jc w:val="both"/>
              <w:rPr>
                <w:sz w:val="18"/>
                <w:szCs w:val="18"/>
              </w:rPr>
            </w:pPr>
            <w:r w:rsidRPr="00DF760B">
              <w:rPr>
                <w:b/>
                <w:sz w:val="18"/>
                <w:szCs w:val="18"/>
              </w:rPr>
              <w:t>Robin McCandliss</w:t>
            </w:r>
            <w:r w:rsidRPr="004C2810">
              <w:rPr>
                <w:sz w:val="18"/>
                <w:szCs w:val="18"/>
              </w:rPr>
              <w:t xml:space="preserve"> to add business plan development into next DAC agenda</w:t>
            </w:r>
          </w:p>
        </w:tc>
        <w:tc>
          <w:tcPr>
            <w:tcW w:w="2703" w:type="dxa"/>
          </w:tcPr>
          <w:p w14:paraId="323E58B5" w14:textId="381FAF44" w:rsidR="00B74719" w:rsidRPr="002F364A" w:rsidRDefault="00B74719" w:rsidP="000C0402">
            <w:pPr>
              <w:jc w:val="both"/>
              <w:rPr>
                <w:sz w:val="18"/>
                <w:szCs w:val="18"/>
              </w:rPr>
            </w:pPr>
            <w:r>
              <w:rPr>
                <w:sz w:val="18"/>
                <w:szCs w:val="18"/>
              </w:rPr>
              <w:t>Done</w:t>
            </w:r>
          </w:p>
        </w:tc>
      </w:tr>
      <w:tr w:rsidR="00B74719" w:rsidRPr="001F3B8F" w14:paraId="5BAAEFA0" w14:textId="77777777" w:rsidTr="00B74719">
        <w:tc>
          <w:tcPr>
            <w:tcW w:w="604" w:type="dxa"/>
          </w:tcPr>
          <w:p w14:paraId="0656EAC1" w14:textId="3293A20A" w:rsidR="00B74719" w:rsidRPr="001F3B8F" w:rsidRDefault="00B74719" w:rsidP="000C0402">
            <w:pPr>
              <w:jc w:val="both"/>
              <w:rPr>
                <w:sz w:val="18"/>
                <w:szCs w:val="18"/>
              </w:rPr>
            </w:pPr>
            <w:r w:rsidRPr="004C2810">
              <w:rPr>
                <w:sz w:val="18"/>
                <w:szCs w:val="18"/>
              </w:rPr>
              <w:lastRenderedPageBreak/>
              <w:t>6.10</w:t>
            </w:r>
          </w:p>
        </w:tc>
        <w:tc>
          <w:tcPr>
            <w:tcW w:w="5709" w:type="dxa"/>
          </w:tcPr>
          <w:p w14:paraId="4F789261" w14:textId="64BC2768" w:rsidR="00B74719" w:rsidRPr="00F94E2C" w:rsidRDefault="00B74719" w:rsidP="000C0402">
            <w:pPr>
              <w:jc w:val="both"/>
              <w:rPr>
                <w:sz w:val="18"/>
                <w:szCs w:val="18"/>
              </w:rPr>
            </w:pPr>
            <w:r w:rsidRPr="00DF760B">
              <w:rPr>
                <w:b/>
                <w:sz w:val="18"/>
                <w:szCs w:val="18"/>
              </w:rPr>
              <w:t>Clare Postlethwaite</w:t>
            </w:r>
            <w:r w:rsidRPr="004C2810">
              <w:rPr>
                <w:sz w:val="18"/>
                <w:szCs w:val="18"/>
              </w:rPr>
              <w:t xml:space="preserve"> to put out call for small projects by 23</w:t>
            </w:r>
            <w:r w:rsidRPr="004C2810">
              <w:rPr>
                <w:sz w:val="18"/>
                <w:szCs w:val="18"/>
                <w:vertAlign w:val="superscript"/>
              </w:rPr>
              <w:t>rd</w:t>
            </w:r>
            <w:r w:rsidRPr="004C2810">
              <w:rPr>
                <w:sz w:val="18"/>
                <w:szCs w:val="18"/>
              </w:rPr>
              <w:t xml:space="preserve"> June.</w:t>
            </w:r>
          </w:p>
        </w:tc>
        <w:tc>
          <w:tcPr>
            <w:tcW w:w="2703" w:type="dxa"/>
          </w:tcPr>
          <w:p w14:paraId="5F9469C7" w14:textId="2140AF74" w:rsidR="00B74719" w:rsidRPr="002F364A" w:rsidRDefault="00B74719" w:rsidP="000C0402">
            <w:pPr>
              <w:jc w:val="both"/>
              <w:rPr>
                <w:sz w:val="18"/>
                <w:szCs w:val="18"/>
              </w:rPr>
            </w:pPr>
            <w:r>
              <w:rPr>
                <w:sz w:val="18"/>
                <w:szCs w:val="18"/>
              </w:rPr>
              <w:t>Done</w:t>
            </w:r>
          </w:p>
        </w:tc>
      </w:tr>
      <w:tr w:rsidR="00B74719" w:rsidRPr="001F3B8F" w14:paraId="1FE420B7" w14:textId="77777777" w:rsidTr="00B74719">
        <w:tc>
          <w:tcPr>
            <w:tcW w:w="604" w:type="dxa"/>
          </w:tcPr>
          <w:p w14:paraId="47B7C263" w14:textId="4997B37B" w:rsidR="00B74719" w:rsidRPr="001F3B8F" w:rsidRDefault="00B74719" w:rsidP="000C0402">
            <w:pPr>
              <w:jc w:val="both"/>
              <w:rPr>
                <w:sz w:val="18"/>
                <w:szCs w:val="18"/>
              </w:rPr>
            </w:pPr>
            <w:r w:rsidRPr="004C2810">
              <w:rPr>
                <w:sz w:val="18"/>
                <w:szCs w:val="18"/>
              </w:rPr>
              <w:t>6.11</w:t>
            </w:r>
          </w:p>
        </w:tc>
        <w:tc>
          <w:tcPr>
            <w:tcW w:w="5709" w:type="dxa"/>
          </w:tcPr>
          <w:p w14:paraId="6FA93411" w14:textId="5BCD5451" w:rsidR="00B74719" w:rsidRPr="00F94E2C" w:rsidRDefault="00B74719" w:rsidP="000C0402">
            <w:pPr>
              <w:jc w:val="both"/>
              <w:rPr>
                <w:sz w:val="18"/>
                <w:szCs w:val="18"/>
              </w:rPr>
            </w:pPr>
            <w:r w:rsidRPr="00DF760B">
              <w:rPr>
                <w:b/>
                <w:sz w:val="18"/>
                <w:szCs w:val="18"/>
              </w:rPr>
              <w:t>DACs</w:t>
            </w:r>
            <w:r w:rsidRPr="004C2810">
              <w:rPr>
                <w:sz w:val="18"/>
                <w:szCs w:val="18"/>
              </w:rPr>
              <w:t xml:space="preserve"> to feed ideas for improving the MEDIN DAC web pages to CP/LR/RM.</w:t>
            </w:r>
          </w:p>
        </w:tc>
        <w:tc>
          <w:tcPr>
            <w:tcW w:w="2703" w:type="dxa"/>
          </w:tcPr>
          <w:p w14:paraId="493F63CA" w14:textId="08864959" w:rsidR="00B74719" w:rsidRPr="002F364A" w:rsidRDefault="00B74719" w:rsidP="000C0402">
            <w:pPr>
              <w:jc w:val="both"/>
              <w:rPr>
                <w:sz w:val="18"/>
                <w:szCs w:val="18"/>
              </w:rPr>
            </w:pPr>
            <w:r>
              <w:rPr>
                <w:sz w:val="18"/>
                <w:szCs w:val="18"/>
              </w:rPr>
              <w:t>On agenda - closed</w:t>
            </w:r>
          </w:p>
        </w:tc>
      </w:tr>
      <w:tr w:rsidR="00B74719" w:rsidRPr="001F3B8F" w14:paraId="75341261" w14:textId="77777777" w:rsidTr="00B74719">
        <w:tc>
          <w:tcPr>
            <w:tcW w:w="604" w:type="dxa"/>
          </w:tcPr>
          <w:p w14:paraId="4A485D6F" w14:textId="6F289112" w:rsidR="00B74719" w:rsidRPr="001F3B8F" w:rsidRDefault="00B74719" w:rsidP="000C0402">
            <w:pPr>
              <w:jc w:val="both"/>
              <w:rPr>
                <w:sz w:val="18"/>
                <w:szCs w:val="18"/>
              </w:rPr>
            </w:pPr>
            <w:r w:rsidRPr="004C2810">
              <w:rPr>
                <w:sz w:val="18"/>
                <w:szCs w:val="18"/>
              </w:rPr>
              <w:t>6.12</w:t>
            </w:r>
          </w:p>
        </w:tc>
        <w:tc>
          <w:tcPr>
            <w:tcW w:w="5709" w:type="dxa"/>
          </w:tcPr>
          <w:p w14:paraId="5535441D" w14:textId="02526417" w:rsidR="00B74719" w:rsidRPr="00F94E2C" w:rsidRDefault="00B74719" w:rsidP="000C0402">
            <w:pPr>
              <w:jc w:val="both"/>
              <w:rPr>
                <w:sz w:val="18"/>
                <w:szCs w:val="18"/>
              </w:rPr>
            </w:pPr>
            <w:r w:rsidRPr="00DF760B">
              <w:rPr>
                <w:b/>
                <w:sz w:val="18"/>
                <w:szCs w:val="18"/>
              </w:rPr>
              <w:t>Clare Postlethwaite</w:t>
            </w:r>
            <w:r w:rsidRPr="004C2810">
              <w:rPr>
                <w:sz w:val="18"/>
                <w:szCs w:val="18"/>
              </w:rPr>
              <w:t xml:space="preserve"> to add this international use of MEDIN data guidelines by EMODnet to annual report.</w:t>
            </w:r>
          </w:p>
        </w:tc>
        <w:tc>
          <w:tcPr>
            <w:tcW w:w="2703" w:type="dxa"/>
          </w:tcPr>
          <w:p w14:paraId="7782EFBD" w14:textId="0BEE2BE1" w:rsidR="00B74719" w:rsidRPr="002F364A" w:rsidRDefault="00B74719" w:rsidP="000C0402">
            <w:pPr>
              <w:jc w:val="both"/>
              <w:rPr>
                <w:sz w:val="18"/>
                <w:szCs w:val="18"/>
              </w:rPr>
            </w:pPr>
            <w:r>
              <w:rPr>
                <w:sz w:val="18"/>
                <w:szCs w:val="18"/>
              </w:rPr>
              <w:t>Done</w:t>
            </w:r>
          </w:p>
        </w:tc>
      </w:tr>
      <w:tr w:rsidR="00B74719" w:rsidRPr="001F3B8F" w14:paraId="637B216D" w14:textId="77777777" w:rsidTr="00B74719">
        <w:tc>
          <w:tcPr>
            <w:tcW w:w="604" w:type="dxa"/>
          </w:tcPr>
          <w:p w14:paraId="69B202A8" w14:textId="2DD68645" w:rsidR="00B74719" w:rsidRPr="001F3B8F" w:rsidRDefault="00B74719" w:rsidP="000C0402">
            <w:pPr>
              <w:jc w:val="both"/>
              <w:rPr>
                <w:sz w:val="18"/>
                <w:szCs w:val="18"/>
              </w:rPr>
            </w:pPr>
            <w:r w:rsidRPr="004C2810">
              <w:rPr>
                <w:sz w:val="18"/>
                <w:szCs w:val="18"/>
              </w:rPr>
              <w:t>6.13</w:t>
            </w:r>
          </w:p>
        </w:tc>
        <w:tc>
          <w:tcPr>
            <w:tcW w:w="5709" w:type="dxa"/>
          </w:tcPr>
          <w:p w14:paraId="6D1CC4C4" w14:textId="19E9DC96" w:rsidR="00B74719" w:rsidRPr="00F94E2C" w:rsidRDefault="00B74719" w:rsidP="000C0402">
            <w:pPr>
              <w:jc w:val="both"/>
              <w:rPr>
                <w:sz w:val="18"/>
                <w:szCs w:val="18"/>
              </w:rPr>
            </w:pPr>
            <w:r w:rsidRPr="00DF760B">
              <w:rPr>
                <w:b/>
                <w:sz w:val="18"/>
                <w:szCs w:val="18"/>
              </w:rPr>
              <w:t xml:space="preserve">Mary Mowat </w:t>
            </w:r>
            <w:r w:rsidRPr="00DF760B">
              <w:rPr>
                <w:sz w:val="18"/>
                <w:szCs w:val="18"/>
              </w:rPr>
              <w:t>and</w:t>
            </w:r>
            <w:r w:rsidRPr="00DF760B">
              <w:rPr>
                <w:b/>
                <w:sz w:val="18"/>
                <w:szCs w:val="18"/>
              </w:rPr>
              <w:t xml:space="preserve"> Chelsea Bradbury</w:t>
            </w:r>
            <w:r w:rsidRPr="004C2810">
              <w:rPr>
                <w:sz w:val="18"/>
                <w:szCs w:val="18"/>
              </w:rPr>
              <w:t xml:space="preserve"> to liaise to identify data sets that are present via TCE and BGS and ensure that it does not appear in MEDIN catalogue twice.</w:t>
            </w:r>
          </w:p>
        </w:tc>
        <w:tc>
          <w:tcPr>
            <w:tcW w:w="2703" w:type="dxa"/>
          </w:tcPr>
          <w:p w14:paraId="03B575F6" w14:textId="7787A023" w:rsidR="00B74719" w:rsidRPr="002F364A" w:rsidRDefault="00B74719" w:rsidP="000C0402">
            <w:pPr>
              <w:jc w:val="both"/>
              <w:rPr>
                <w:sz w:val="18"/>
                <w:szCs w:val="18"/>
              </w:rPr>
            </w:pPr>
            <w:r>
              <w:rPr>
                <w:sz w:val="18"/>
                <w:szCs w:val="18"/>
              </w:rPr>
              <w:t>Ongoing</w:t>
            </w:r>
          </w:p>
        </w:tc>
      </w:tr>
      <w:tr w:rsidR="00B74719" w:rsidRPr="001F3B8F" w14:paraId="25AAC4CB" w14:textId="77777777" w:rsidTr="00B74719">
        <w:tc>
          <w:tcPr>
            <w:tcW w:w="604" w:type="dxa"/>
          </w:tcPr>
          <w:p w14:paraId="05BE423F" w14:textId="3BC036F7" w:rsidR="00B74719" w:rsidRPr="001F3B8F" w:rsidRDefault="00B74719" w:rsidP="000C0402">
            <w:pPr>
              <w:jc w:val="both"/>
              <w:rPr>
                <w:sz w:val="18"/>
                <w:szCs w:val="18"/>
              </w:rPr>
            </w:pPr>
            <w:r w:rsidRPr="004C2810">
              <w:rPr>
                <w:sz w:val="18"/>
                <w:szCs w:val="18"/>
              </w:rPr>
              <w:t>6.14</w:t>
            </w:r>
          </w:p>
        </w:tc>
        <w:tc>
          <w:tcPr>
            <w:tcW w:w="5709" w:type="dxa"/>
          </w:tcPr>
          <w:p w14:paraId="6F0010B9" w14:textId="58097EB7" w:rsidR="00B74719" w:rsidRPr="00F94E2C" w:rsidRDefault="00B74719" w:rsidP="000C0402">
            <w:pPr>
              <w:jc w:val="both"/>
              <w:rPr>
                <w:sz w:val="18"/>
                <w:szCs w:val="18"/>
              </w:rPr>
            </w:pPr>
            <w:r w:rsidRPr="005F0D0D">
              <w:rPr>
                <w:b/>
                <w:sz w:val="18"/>
                <w:szCs w:val="18"/>
              </w:rPr>
              <w:t>Chelsea Bradbury</w:t>
            </w:r>
            <w:r w:rsidRPr="004C2810">
              <w:rPr>
                <w:sz w:val="18"/>
                <w:szCs w:val="18"/>
              </w:rPr>
              <w:t xml:space="preserve"> to update on progress with generating list of small consents works for MEDIN at next DAC WG meeting.</w:t>
            </w:r>
          </w:p>
        </w:tc>
        <w:tc>
          <w:tcPr>
            <w:tcW w:w="2703" w:type="dxa"/>
          </w:tcPr>
          <w:p w14:paraId="708E7EFE" w14:textId="39EB9E49" w:rsidR="00B74719" w:rsidRPr="002F364A" w:rsidRDefault="00B74719" w:rsidP="000C0402">
            <w:pPr>
              <w:jc w:val="both"/>
              <w:rPr>
                <w:sz w:val="18"/>
                <w:szCs w:val="18"/>
              </w:rPr>
            </w:pPr>
            <w:r>
              <w:rPr>
                <w:sz w:val="18"/>
                <w:szCs w:val="18"/>
              </w:rPr>
              <w:t>On agenda - closed</w:t>
            </w:r>
          </w:p>
        </w:tc>
      </w:tr>
      <w:tr w:rsidR="00B74719" w:rsidRPr="001F3B8F" w14:paraId="005E436C" w14:textId="77777777" w:rsidTr="00B74719">
        <w:tc>
          <w:tcPr>
            <w:tcW w:w="604" w:type="dxa"/>
          </w:tcPr>
          <w:p w14:paraId="234C7697" w14:textId="7F4F1C47" w:rsidR="00B74719" w:rsidRPr="001F3B8F" w:rsidRDefault="00B74719" w:rsidP="000C0402">
            <w:pPr>
              <w:jc w:val="both"/>
              <w:rPr>
                <w:sz w:val="18"/>
                <w:szCs w:val="18"/>
              </w:rPr>
            </w:pPr>
            <w:r w:rsidRPr="004C2810">
              <w:rPr>
                <w:sz w:val="18"/>
                <w:szCs w:val="18"/>
              </w:rPr>
              <w:t>6.15</w:t>
            </w:r>
          </w:p>
        </w:tc>
        <w:tc>
          <w:tcPr>
            <w:tcW w:w="5709" w:type="dxa"/>
          </w:tcPr>
          <w:p w14:paraId="476E4656" w14:textId="18FCBBEB" w:rsidR="00B74719" w:rsidRPr="00F94E2C" w:rsidRDefault="00B74719" w:rsidP="000C0402">
            <w:pPr>
              <w:jc w:val="both"/>
              <w:rPr>
                <w:sz w:val="18"/>
                <w:szCs w:val="18"/>
              </w:rPr>
            </w:pPr>
            <w:r w:rsidRPr="005F0D0D">
              <w:rPr>
                <w:b/>
                <w:sz w:val="18"/>
                <w:szCs w:val="18"/>
              </w:rPr>
              <w:t>Louisa Matthews</w:t>
            </w:r>
            <w:r w:rsidRPr="004C2810">
              <w:rPr>
                <w:sz w:val="18"/>
                <w:szCs w:val="18"/>
              </w:rPr>
              <w:t xml:space="preserve"> to collate information on what licences the DACs use for industry data.</w:t>
            </w:r>
          </w:p>
        </w:tc>
        <w:tc>
          <w:tcPr>
            <w:tcW w:w="2703" w:type="dxa"/>
          </w:tcPr>
          <w:p w14:paraId="6C8D3605" w14:textId="37A1CB0A" w:rsidR="00B74719" w:rsidRPr="002F364A" w:rsidRDefault="00B74719" w:rsidP="000C0402">
            <w:pPr>
              <w:jc w:val="both"/>
              <w:rPr>
                <w:sz w:val="18"/>
                <w:szCs w:val="18"/>
              </w:rPr>
            </w:pPr>
            <w:r>
              <w:rPr>
                <w:sz w:val="18"/>
                <w:szCs w:val="18"/>
              </w:rPr>
              <w:t>On agenda - closed</w:t>
            </w:r>
          </w:p>
        </w:tc>
      </w:tr>
      <w:tr w:rsidR="00B74719" w:rsidRPr="001F3B8F" w14:paraId="717052F4" w14:textId="77777777" w:rsidTr="00B74719">
        <w:tc>
          <w:tcPr>
            <w:tcW w:w="604" w:type="dxa"/>
          </w:tcPr>
          <w:p w14:paraId="3B4D4566" w14:textId="32C1DE0B" w:rsidR="00B74719" w:rsidRPr="001F3B8F" w:rsidRDefault="00B74719" w:rsidP="000C0402">
            <w:pPr>
              <w:jc w:val="both"/>
              <w:rPr>
                <w:sz w:val="18"/>
                <w:szCs w:val="18"/>
              </w:rPr>
            </w:pPr>
            <w:r w:rsidRPr="004C2810">
              <w:rPr>
                <w:sz w:val="18"/>
                <w:szCs w:val="18"/>
              </w:rPr>
              <w:t>6.16</w:t>
            </w:r>
          </w:p>
        </w:tc>
        <w:tc>
          <w:tcPr>
            <w:tcW w:w="5709" w:type="dxa"/>
          </w:tcPr>
          <w:p w14:paraId="1E6C389E" w14:textId="52702443" w:rsidR="00B74719" w:rsidRPr="00F94E2C" w:rsidRDefault="00B74719" w:rsidP="000C0402">
            <w:pPr>
              <w:jc w:val="both"/>
              <w:rPr>
                <w:sz w:val="18"/>
                <w:szCs w:val="18"/>
              </w:rPr>
            </w:pPr>
            <w:r w:rsidRPr="005F0D0D">
              <w:rPr>
                <w:b/>
                <w:sz w:val="18"/>
                <w:szCs w:val="18"/>
              </w:rPr>
              <w:t>Clare Postlethwaite</w:t>
            </w:r>
            <w:r w:rsidRPr="004C2810">
              <w:rPr>
                <w:sz w:val="18"/>
                <w:szCs w:val="18"/>
              </w:rPr>
              <w:t xml:space="preserve"> to arrange dates for MEDIN mega meeting in Q3.</w:t>
            </w:r>
          </w:p>
        </w:tc>
        <w:tc>
          <w:tcPr>
            <w:tcW w:w="2703" w:type="dxa"/>
          </w:tcPr>
          <w:p w14:paraId="38C4D01A" w14:textId="332BF722" w:rsidR="00B74719" w:rsidRPr="002F364A" w:rsidRDefault="00B74719" w:rsidP="000C0402">
            <w:pPr>
              <w:jc w:val="both"/>
              <w:rPr>
                <w:sz w:val="18"/>
                <w:szCs w:val="18"/>
              </w:rPr>
            </w:pPr>
            <w:r>
              <w:rPr>
                <w:sz w:val="18"/>
                <w:szCs w:val="18"/>
              </w:rPr>
              <w:t>Done</w:t>
            </w:r>
          </w:p>
        </w:tc>
      </w:tr>
      <w:tr w:rsidR="00B74719" w:rsidRPr="001F3B8F" w14:paraId="059DEB25" w14:textId="77777777" w:rsidTr="00EC7EAE">
        <w:tc>
          <w:tcPr>
            <w:tcW w:w="9016" w:type="dxa"/>
            <w:gridSpan w:val="3"/>
          </w:tcPr>
          <w:p w14:paraId="321909E9" w14:textId="174359B0" w:rsidR="00B74719" w:rsidRPr="002F364A" w:rsidRDefault="00B74719" w:rsidP="000C0402">
            <w:pPr>
              <w:jc w:val="both"/>
              <w:rPr>
                <w:sz w:val="18"/>
                <w:szCs w:val="18"/>
              </w:rPr>
            </w:pPr>
            <w:r w:rsidRPr="005F51A3">
              <w:rPr>
                <w:b/>
                <w:sz w:val="18"/>
                <w:szCs w:val="18"/>
              </w:rPr>
              <w:t>Actions outstanding from earlier DAC WG meetings</w:t>
            </w:r>
          </w:p>
        </w:tc>
      </w:tr>
      <w:tr w:rsidR="00B74719" w:rsidRPr="001F3B8F" w14:paraId="644FC5F1" w14:textId="77777777" w:rsidTr="00B74719">
        <w:tc>
          <w:tcPr>
            <w:tcW w:w="604" w:type="dxa"/>
          </w:tcPr>
          <w:p w14:paraId="2EF5C4A0" w14:textId="3359B7CC" w:rsidR="00B74719" w:rsidRDefault="00B74719" w:rsidP="000C0402">
            <w:pPr>
              <w:jc w:val="both"/>
              <w:rPr>
                <w:sz w:val="18"/>
                <w:szCs w:val="18"/>
              </w:rPr>
            </w:pPr>
            <w:r>
              <w:rPr>
                <w:sz w:val="18"/>
                <w:szCs w:val="18"/>
              </w:rPr>
              <w:t>5</w:t>
            </w:r>
            <w:r w:rsidRPr="001F3B8F">
              <w:rPr>
                <w:sz w:val="18"/>
                <w:szCs w:val="18"/>
              </w:rPr>
              <w:t>.1</w:t>
            </w:r>
          </w:p>
        </w:tc>
        <w:tc>
          <w:tcPr>
            <w:tcW w:w="5709" w:type="dxa"/>
          </w:tcPr>
          <w:p w14:paraId="2584FADA" w14:textId="13ECDA24" w:rsidR="00B74719" w:rsidRPr="004D47AB" w:rsidRDefault="00B74719" w:rsidP="000C0402">
            <w:pPr>
              <w:jc w:val="both"/>
              <w:rPr>
                <w:sz w:val="18"/>
                <w:szCs w:val="18"/>
              </w:rPr>
            </w:pPr>
            <w:r w:rsidRPr="004D47AB">
              <w:rPr>
                <w:sz w:val="18"/>
                <w:szCs w:val="18"/>
              </w:rPr>
              <w:t>Clare to push Defra about archiving datasets for MSFD</w:t>
            </w:r>
          </w:p>
        </w:tc>
        <w:tc>
          <w:tcPr>
            <w:tcW w:w="2703" w:type="dxa"/>
          </w:tcPr>
          <w:p w14:paraId="79985708" w14:textId="7F7CBC25" w:rsidR="00B74719" w:rsidRDefault="0074544E" w:rsidP="000C0402">
            <w:pPr>
              <w:jc w:val="both"/>
              <w:rPr>
                <w:sz w:val="18"/>
                <w:szCs w:val="18"/>
              </w:rPr>
            </w:pPr>
            <w:r>
              <w:rPr>
                <w:sz w:val="18"/>
                <w:szCs w:val="18"/>
              </w:rPr>
              <w:t>Closed</w:t>
            </w:r>
            <w:r w:rsidR="00DD35E4">
              <w:rPr>
                <w:sz w:val="18"/>
                <w:szCs w:val="18"/>
              </w:rPr>
              <w:t xml:space="preserve"> – Richard Moxon (Defra) has acknowledged that there may be a cost to archive data.</w:t>
            </w:r>
          </w:p>
        </w:tc>
      </w:tr>
      <w:tr w:rsidR="00B74719" w:rsidRPr="001F3B8F" w14:paraId="6310DC78" w14:textId="77777777" w:rsidTr="00B74719">
        <w:tc>
          <w:tcPr>
            <w:tcW w:w="604" w:type="dxa"/>
          </w:tcPr>
          <w:p w14:paraId="5CC539AC" w14:textId="77777777" w:rsidR="00B74719" w:rsidRPr="001F3B8F" w:rsidRDefault="00B74719" w:rsidP="000C0402">
            <w:pPr>
              <w:jc w:val="both"/>
              <w:rPr>
                <w:sz w:val="18"/>
                <w:szCs w:val="18"/>
              </w:rPr>
            </w:pPr>
            <w:r>
              <w:rPr>
                <w:sz w:val="18"/>
                <w:szCs w:val="18"/>
              </w:rPr>
              <w:t>5.2</w:t>
            </w:r>
          </w:p>
        </w:tc>
        <w:tc>
          <w:tcPr>
            <w:tcW w:w="5709" w:type="dxa"/>
          </w:tcPr>
          <w:p w14:paraId="154262BD" w14:textId="77777777" w:rsidR="00B74719" w:rsidRPr="002F364A" w:rsidRDefault="00B74719" w:rsidP="000C0402">
            <w:pPr>
              <w:jc w:val="both"/>
              <w:rPr>
                <w:sz w:val="18"/>
                <w:szCs w:val="18"/>
              </w:rPr>
            </w:pPr>
            <w:r>
              <w:rPr>
                <w:sz w:val="18"/>
                <w:szCs w:val="18"/>
              </w:rPr>
              <w:t>DACs to report whether they could archive snapshots of the MSFD data sets with DOIs</w:t>
            </w:r>
          </w:p>
        </w:tc>
        <w:tc>
          <w:tcPr>
            <w:tcW w:w="2703" w:type="dxa"/>
          </w:tcPr>
          <w:p w14:paraId="2ED2ABAD" w14:textId="00C87191" w:rsidR="00B74719" w:rsidRPr="002F364A" w:rsidRDefault="00B74719" w:rsidP="000C0402">
            <w:pPr>
              <w:jc w:val="both"/>
              <w:rPr>
                <w:sz w:val="18"/>
                <w:szCs w:val="18"/>
              </w:rPr>
            </w:pPr>
            <w:r>
              <w:rPr>
                <w:sz w:val="18"/>
                <w:szCs w:val="18"/>
              </w:rPr>
              <w:t>On hold. Need clarity from Data Task Group about exactly what is required.</w:t>
            </w:r>
          </w:p>
        </w:tc>
      </w:tr>
      <w:tr w:rsidR="00B74719" w:rsidRPr="001F3B8F" w14:paraId="2C422900" w14:textId="77777777" w:rsidTr="00B74719">
        <w:tc>
          <w:tcPr>
            <w:tcW w:w="604" w:type="dxa"/>
          </w:tcPr>
          <w:p w14:paraId="18E6D285" w14:textId="77777777" w:rsidR="00B74719" w:rsidRPr="001F3B8F" w:rsidRDefault="00B74719" w:rsidP="000C0402">
            <w:pPr>
              <w:jc w:val="both"/>
              <w:rPr>
                <w:sz w:val="18"/>
                <w:szCs w:val="18"/>
              </w:rPr>
            </w:pPr>
            <w:r>
              <w:rPr>
                <w:sz w:val="18"/>
                <w:szCs w:val="18"/>
              </w:rPr>
              <w:t>5.3</w:t>
            </w:r>
          </w:p>
        </w:tc>
        <w:tc>
          <w:tcPr>
            <w:tcW w:w="5709" w:type="dxa"/>
          </w:tcPr>
          <w:p w14:paraId="6A26F382" w14:textId="77777777" w:rsidR="00B74719" w:rsidRPr="002F364A" w:rsidRDefault="00B74719" w:rsidP="000C0402">
            <w:pPr>
              <w:jc w:val="both"/>
              <w:rPr>
                <w:sz w:val="18"/>
                <w:szCs w:val="18"/>
              </w:rPr>
            </w:pPr>
            <w:r>
              <w:rPr>
                <w:sz w:val="18"/>
                <w:szCs w:val="18"/>
              </w:rPr>
              <w:t>Add re-accreditation timetable to web-site; Lesley to pass to Hannah</w:t>
            </w:r>
          </w:p>
        </w:tc>
        <w:tc>
          <w:tcPr>
            <w:tcW w:w="2703" w:type="dxa"/>
          </w:tcPr>
          <w:p w14:paraId="7358AF18" w14:textId="4BD6BF47" w:rsidR="00B74719" w:rsidRPr="002F364A" w:rsidRDefault="0074544E" w:rsidP="000C0402">
            <w:pPr>
              <w:jc w:val="both"/>
              <w:rPr>
                <w:sz w:val="18"/>
                <w:szCs w:val="18"/>
              </w:rPr>
            </w:pPr>
            <w:r>
              <w:rPr>
                <w:sz w:val="18"/>
                <w:szCs w:val="18"/>
              </w:rPr>
              <w:t>Closed – Information is in annual report.</w:t>
            </w:r>
          </w:p>
        </w:tc>
      </w:tr>
      <w:tr w:rsidR="00B74719" w:rsidRPr="001F3B8F" w14:paraId="0D4BBBD8" w14:textId="77777777" w:rsidTr="00B74719">
        <w:tc>
          <w:tcPr>
            <w:tcW w:w="604" w:type="dxa"/>
          </w:tcPr>
          <w:p w14:paraId="144139C1" w14:textId="77777777" w:rsidR="00B74719" w:rsidRPr="001F3B8F" w:rsidRDefault="00B74719" w:rsidP="000C0402">
            <w:pPr>
              <w:jc w:val="both"/>
              <w:rPr>
                <w:sz w:val="18"/>
                <w:szCs w:val="18"/>
              </w:rPr>
            </w:pPr>
            <w:r w:rsidRPr="001F3B8F">
              <w:rPr>
                <w:sz w:val="18"/>
                <w:szCs w:val="18"/>
              </w:rPr>
              <w:t>4.1</w:t>
            </w:r>
          </w:p>
        </w:tc>
        <w:tc>
          <w:tcPr>
            <w:tcW w:w="5709" w:type="dxa"/>
          </w:tcPr>
          <w:p w14:paraId="25516CB8" w14:textId="77777777" w:rsidR="00B74719" w:rsidRDefault="00B74719" w:rsidP="000C0402">
            <w:pPr>
              <w:jc w:val="both"/>
              <w:rPr>
                <w:sz w:val="18"/>
                <w:szCs w:val="18"/>
              </w:rPr>
            </w:pPr>
            <w:r w:rsidRPr="007B1E76">
              <w:rPr>
                <w:sz w:val="18"/>
                <w:szCs w:val="18"/>
              </w:rPr>
              <w:t>Clare to make the Archive data URL field mandatory in UKDMOS.</w:t>
            </w:r>
          </w:p>
          <w:p w14:paraId="3FC48CE2" w14:textId="77777777" w:rsidR="00B74719" w:rsidRPr="007B1E76" w:rsidRDefault="00B74719" w:rsidP="000C0402">
            <w:pPr>
              <w:jc w:val="both"/>
            </w:pPr>
            <w:r>
              <w:rPr>
                <w:i/>
                <w:sz w:val="18"/>
                <w:szCs w:val="18"/>
              </w:rPr>
              <w:t>As of 11/10/16 14/276 have real time URL, 76 have archive URLs. This will be checked again following content update.</w:t>
            </w:r>
          </w:p>
        </w:tc>
        <w:tc>
          <w:tcPr>
            <w:tcW w:w="2703" w:type="dxa"/>
          </w:tcPr>
          <w:p w14:paraId="725DA339" w14:textId="4289F7F2" w:rsidR="00B74719" w:rsidRPr="001F3B8F" w:rsidRDefault="0074544E" w:rsidP="000C0402">
            <w:pPr>
              <w:jc w:val="both"/>
              <w:rPr>
                <w:sz w:val="18"/>
                <w:szCs w:val="18"/>
              </w:rPr>
            </w:pPr>
            <w:r>
              <w:rPr>
                <w:sz w:val="18"/>
                <w:szCs w:val="18"/>
              </w:rPr>
              <w:t xml:space="preserve">On hold. No updates to UKDMOS </w:t>
            </w:r>
            <w:r w:rsidR="00295BF2">
              <w:rPr>
                <w:sz w:val="18"/>
                <w:szCs w:val="18"/>
              </w:rPr>
              <w:t xml:space="preserve">due to </w:t>
            </w:r>
            <w:r w:rsidR="00E926F2">
              <w:rPr>
                <w:sz w:val="18"/>
                <w:szCs w:val="18"/>
              </w:rPr>
              <w:t>changes in</w:t>
            </w:r>
            <w:r>
              <w:rPr>
                <w:sz w:val="18"/>
                <w:szCs w:val="18"/>
              </w:rPr>
              <w:t xml:space="preserve"> MEDIN core team.</w:t>
            </w:r>
          </w:p>
        </w:tc>
      </w:tr>
      <w:tr w:rsidR="00B74719" w:rsidRPr="001F3B8F" w14:paraId="264E5E13" w14:textId="77777777" w:rsidTr="00B74719">
        <w:tc>
          <w:tcPr>
            <w:tcW w:w="604" w:type="dxa"/>
          </w:tcPr>
          <w:p w14:paraId="692A1907" w14:textId="77777777" w:rsidR="00B74719" w:rsidRPr="001F3B8F" w:rsidRDefault="00B74719" w:rsidP="000C0402">
            <w:pPr>
              <w:jc w:val="both"/>
              <w:rPr>
                <w:sz w:val="18"/>
                <w:szCs w:val="18"/>
              </w:rPr>
            </w:pPr>
            <w:r w:rsidRPr="001F3B8F">
              <w:rPr>
                <w:sz w:val="18"/>
                <w:szCs w:val="18"/>
              </w:rPr>
              <w:t>3.1</w:t>
            </w:r>
          </w:p>
        </w:tc>
        <w:tc>
          <w:tcPr>
            <w:tcW w:w="5709" w:type="dxa"/>
          </w:tcPr>
          <w:p w14:paraId="0F0F0161" w14:textId="77777777" w:rsidR="00B74719" w:rsidRPr="001F3B8F" w:rsidRDefault="00B74719" w:rsidP="000C0402">
            <w:pPr>
              <w:jc w:val="both"/>
              <w:rPr>
                <w:sz w:val="18"/>
                <w:szCs w:val="18"/>
              </w:rPr>
            </w:pPr>
            <w:r w:rsidRPr="001F3B8F">
              <w:rPr>
                <w:sz w:val="18"/>
                <w:szCs w:val="18"/>
              </w:rPr>
              <w:t>Following Clare/Lesley review,</w:t>
            </w:r>
            <w:r w:rsidRPr="001F3B8F">
              <w:rPr>
                <w:b/>
                <w:sz w:val="18"/>
                <w:szCs w:val="18"/>
              </w:rPr>
              <w:t xml:space="preserve"> </w:t>
            </w:r>
            <w:r w:rsidRPr="001F3B8F">
              <w:rPr>
                <w:sz w:val="18"/>
                <w:szCs w:val="18"/>
              </w:rPr>
              <w:t>send a template to DACs that lists UKDMOS monitoring programmes; DACs to check list and identify the programmes where DACs should be/are publishing and where other services are publishing.</w:t>
            </w:r>
          </w:p>
        </w:tc>
        <w:tc>
          <w:tcPr>
            <w:tcW w:w="2703" w:type="dxa"/>
          </w:tcPr>
          <w:p w14:paraId="4DB4A5ED" w14:textId="77777777" w:rsidR="00B74719" w:rsidRPr="001F3B8F" w:rsidRDefault="00B74719" w:rsidP="000C0402">
            <w:pPr>
              <w:jc w:val="both"/>
              <w:rPr>
                <w:sz w:val="18"/>
                <w:szCs w:val="18"/>
              </w:rPr>
            </w:pPr>
            <w:r w:rsidRPr="001F3B8F">
              <w:rPr>
                <w:sz w:val="18"/>
                <w:szCs w:val="18"/>
              </w:rPr>
              <w:t>Ongoing</w:t>
            </w:r>
            <w:r>
              <w:rPr>
                <w:sz w:val="18"/>
                <w:szCs w:val="18"/>
              </w:rPr>
              <w:t>. Needs LR to check list.</w:t>
            </w:r>
          </w:p>
        </w:tc>
      </w:tr>
      <w:tr w:rsidR="00B74719" w:rsidRPr="001F3B8F" w14:paraId="78EF412B" w14:textId="77777777" w:rsidTr="00B74719">
        <w:tc>
          <w:tcPr>
            <w:tcW w:w="604" w:type="dxa"/>
          </w:tcPr>
          <w:p w14:paraId="277BC4BD" w14:textId="77777777" w:rsidR="00B74719" w:rsidRPr="001F3B8F" w:rsidRDefault="00B74719" w:rsidP="000C0402">
            <w:pPr>
              <w:jc w:val="both"/>
              <w:rPr>
                <w:sz w:val="18"/>
                <w:szCs w:val="18"/>
              </w:rPr>
            </w:pPr>
            <w:r w:rsidRPr="001F3B8F">
              <w:rPr>
                <w:sz w:val="18"/>
                <w:szCs w:val="18"/>
              </w:rPr>
              <w:t>3.8</w:t>
            </w:r>
          </w:p>
        </w:tc>
        <w:tc>
          <w:tcPr>
            <w:tcW w:w="5709" w:type="dxa"/>
          </w:tcPr>
          <w:p w14:paraId="52374539" w14:textId="77777777" w:rsidR="00B74719" w:rsidRPr="001F3B8F" w:rsidRDefault="00B74719" w:rsidP="000C0402">
            <w:pPr>
              <w:jc w:val="both"/>
              <w:rPr>
                <w:sz w:val="18"/>
                <w:szCs w:val="18"/>
              </w:rPr>
            </w:pPr>
            <w:r w:rsidRPr="001F3B8F">
              <w:rPr>
                <w:sz w:val="18"/>
                <w:szCs w:val="18"/>
              </w:rPr>
              <w:t>DACs provide input to Hannah Williams to indicating which INSPIRE themes are applicable to their data to include on MEDIN website</w:t>
            </w:r>
            <w:r>
              <w:rPr>
                <w:sz w:val="18"/>
                <w:szCs w:val="18"/>
              </w:rPr>
              <w:t>.</w:t>
            </w:r>
          </w:p>
        </w:tc>
        <w:tc>
          <w:tcPr>
            <w:tcW w:w="2703" w:type="dxa"/>
          </w:tcPr>
          <w:p w14:paraId="2D678F3F" w14:textId="75CED976" w:rsidR="00B74719" w:rsidRPr="001F3B8F" w:rsidRDefault="0074544E" w:rsidP="000C0402">
            <w:pPr>
              <w:jc w:val="both"/>
              <w:rPr>
                <w:sz w:val="18"/>
                <w:szCs w:val="18"/>
              </w:rPr>
            </w:pPr>
            <w:r>
              <w:rPr>
                <w:sz w:val="18"/>
                <w:szCs w:val="18"/>
              </w:rPr>
              <w:t>Closed</w:t>
            </w:r>
          </w:p>
        </w:tc>
      </w:tr>
      <w:tr w:rsidR="00B74719" w:rsidRPr="001F3B8F" w14:paraId="1118C9AD" w14:textId="77777777" w:rsidTr="00B74719">
        <w:tc>
          <w:tcPr>
            <w:tcW w:w="604" w:type="dxa"/>
          </w:tcPr>
          <w:p w14:paraId="3A61DF38" w14:textId="77777777" w:rsidR="00B74719" w:rsidRPr="001F3B8F" w:rsidRDefault="00B74719" w:rsidP="000C0402">
            <w:pPr>
              <w:jc w:val="both"/>
              <w:rPr>
                <w:sz w:val="18"/>
                <w:szCs w:val="18"/>
              </w:rPr>
            </w:pPr>
            <w:r>
              <w:rPr>
                <w:sz w:val="18"/>
                <w:szCs w:val="18"/>
              </w:rPr>
              <w:t>2.15</w:t>
            </w:r>
          </w:p>
        </w:tc>
        <w:tc>
          <w:tcPr>
            <w:tcW w:w="5709" w:type="dxa"/>
          </w:tcPr>
          <w:p w14:paraId="57BD4AD9" w14:textId="77777777" w:rsidR="00B74719" w:rsidRPr="001F3B8F" w:rsidRDefault="00B74719" w:rsidP="000C0402">
            <w:pPr>
              <w:ind w:left="3"/>
              <w:jc w:val="both"/>
              <w:rPr>
                <w:b/>
                <w:sz w:val="18"/>
                <w:szCs w:val="18"/>
              </w:rPr>
            </w:pPr>
            <w:r w:rsidRPr="001F3B8F">
              <w:rPr>
                <w:sz w:val="18"/>
                <w:szCs w:val="18"/>
              </w:rPr>
              <w:t>Clare to arrange an autumn workshop in Scotland with MPA organisations to ensure suitable data management plans are in place. Should involve BGS, DASSH, JNCC, SNH, Marine Scotland, Natural England and any other DACs that are interested.</w:t>
            </w:r>
          </w:p>
        </w:tc>
        <w:tc>
          <w:tcPr>
            <w:tcW w:w="2703" w:type="dxa"/>
          </w:tcPr>
          <w:p w14:paraId="13ED4911" w14:textId="4A07A432" w:rsidR="00B74719" w:rsidRPr="001F3B8F" w:rsidRDefault="0074544E" w:rsidP="000C0402">
            <w:pPr>
              <w:jc w:val="both"/>
              <w:rPr>
                <w:sz w:val="18"/>
                <w:szCs w:val="18"/>
              </w:rPr>
            </w:pPr>
            <w:r>
              <w:rPr>
                <w:sz w:val="18"/>
                <w:szCs w:val="18"/>
              </w:rPr>
              <w:t>Done</w:t>
            </w:r>
          </w:p>
        </w:tc>
      </w:tr>
      <w:tr w:rsidR="00B74719" w:rsidRPr="001F3B8F" w14:paraId="64FA2A57" w14:textId="77777777" w:rsidTr="00B74719">
        <w:tc>
          <w:tcPr>
            <w:tcW w:w="604" w:type="dxa"/>
          </w:tcPr>
          <w:p w14:paraId="7EFDA3AC" w14:textId="77777777" w:rsidR="00B74719" w:rsidRPr="001F3B8F" w:rsidRDefault="00B74719" w:rsidP="000C0402">
            <w:pPr>
              <w:jc w:val="both"/>
              <w:rPr>
                <w:sz w:val="18"/>
                <w:szCs w:val="18"/>
              </w:rPr>
            </w:pPr>
            <w:r>
              <w:rPr>
                <w:sz w:val="18"/>
                <w:szCs w:val="18"/>
              </w:rPr>
              <w:t>2.</w:t>
            </w:r>
            <w:r w:rsidRPr="001F3B8F">
              <w:rPr>
                <w:sz w:val="18"/>
                <w:szCs w:val="18"/>
              </w:rPr>
              <w:t>18</w:t>
            </w:r>
          </w:p>
        </w:tc>
        <w:tc>
          <w:tcPr>
            <w:tcW w:w="5709" w:type="dxa"/>
          </w:tcPr>
          <w:p w14:paraId="637CF5AB" w14:textId="77777777" w:rsidR="00B74719" w:rsidRDefault="00B74719" w:rsidP="000C0402">
            <w:pPr>
              <w:jc w:val="both"/>
              <w:rPr>
                <w:sz w:val="18"/>
                <w:szCs w:val="18"/>
              </w:rPr>
            </w:pPr>
            <w:r w:rsidRPr="001F3B8F">
              <w:rPr>
                <w:sz w:val="18"/>
                <w:szCs w:val="18"/>
              </w:rPr>
              <w:t>Clare to speak to JNCC about possibility of them becoming a Bird DAC.</w:t>
            </w:r>
          </w:p>
          <w:p w14:paraId="4BE98872" w14:textId="77777777" w:rsidR="00B74719" w:rsidRPr="004447DF" w:rsidRDefault="00B74719" w:rsidP="000C0402">
            <w:pPr>
              <w:jc w:val="both"/>
              <w:rPr>
                <w:i/>
                <w:sz w:val="18"/>
                <w:szCs w:val="18"/>
              </w:rPr>
            </w:pPr>
            <w:r w:rsidRPr="004447DF">
              <w:rPr>
                <w:i/>
                <w:sz w:val="18"/>
                <w:szCs w:val="18"/>
              </w:rPr>
              <w:t>No further progress. Concentrating on litter and noise in 2016/17.</w:t>
            </w:r>
          </w:p>
        </w:tc>
        <w:tc>
          <w:tcPr>
            <w:tcW w:w="2703" w:type="dxa"/>
          </w:tcPr>
          <w:p w14:paraId="592469C2" w14:textId="7826F653" w:rsidR="00B74719" w:rsidRPr="00DB7C6E" w:rsidRDefault="00B74719" w:rsidP="000C0402">
            <w:pPr>
              <w:jc w:val="both"/>
              <w:rPr>
                <w:sz w:val="18"/>
                <w:szCs w:val="18"/>
              </w:rPr>
            </w:pPr>
            <w:r>
              <w:rPr>
                <w:sz w:val="18"/>
                <w:szCs w:val="18"/>
              </w:rPr>
              <w:t>On hold. Though at last Sponsor’s meeting, JNCC mentioned they may be interested in becoming a Bird DAC.</w:t>
            </w:r>
          </w:p>
        </w:tc>
      </w:tr>
    </w:tbl>
    <w:p w14:paraId="6C3736E7" w14:textId="77777777" w:rsidR="004F0CBC" w:rsidRDefault="004F0CBC" w:rsidP="000C0402">
      <w:pPr>
        <w:spacing w:after="0" w:line="240" w:lineRule="auto"/>
        <w:jc w:val="both"/>
      </w:pPr>
    </w:p>
    <w:p w14:paraId="0BEA7DFC" w14:textId="77777777" w:rsidR="000F044B" w:rsidRDefault="000F044B" w:rsidP="000C0402">
      <w:pPr>
        <w:spacing w:after="0" w:line="240" w:lineRule="auto"/>
        <w:jc w:val="both"/>
        <w:rPr>
          <w:b/>
          <w:sz w:val="24"/>
          <w:szCs w:val="24"/>
        </w:rPr>
      </w:pPr>
    </w:p>
    <w:p w14:paraId="67ACA239" w14:textId="3EF05AC8" w:rsidR="00012D41" w:rsidRPr="0074544E" w:rsidRDefault="0074544E" w:rsidP="000C0402">
      <w:pPr>
        <w:spacing w:line="240" w:lineRule="auto"/>
        <w:jc w:val="both"/>
        <w:rPr>
          <w:b/>
        </w:rPr>
      </w:pPr>
      <w:r w:rsidRPr="0074544E">
        <w:rPr>
          <w:b/>
        </w:rPr>
        <w:t>3. Review of DAC Work Plan 2017</w:t>
      </w:r>
      <w:r w:rsidR="00012D41" w:rsidRPr="0074544E">
        <w:rPr>
          <w:b/>
        </w:rPr>
        <w:t>/1</w:t>
      </w:r>
      <w:r w:rsidRPr="0074544E">
        <w:rPr>
          <w:b/>
        </w:rPr>
        <w:t>8</w:t>
      </w:r>
    </w:p>
    <w:p w14:paraId="64D86129" w14:textId="1AE24507" w:rsidR="00012D41" w:rsidRPr="0074544E" w:rsidRDefault="0074544E" w:rsidP="000C0402">
      <w:pPr>
        <w:spacing w:line="240" w:lineRule="auto"/>
        <w:jc w:val="both"/>
        <w:rPr>
          <w:u w:val="single"/>
        </w:rPr>
      </w:pPr>
      <w:r w:rsidRPr="0074544E">
        <w:rPr>
          <w:u w:val="single"/>
        </w:rPr>
        <w:t>3(a)</w:t>
      </w:r>
      <w:r w:rsidR="00012D41" w:rsidRPr="0074544E">
        <w:rPr>
          <w:u w:val="single"/>
        </w:rPr>
        <w:t xml:space="preserve"> </w:t>
      </w:r>
      <w:r w:rsidRPr="0074544E">
        <w:rPr>
          <w:u w:val="single"/>
        </w:rPr>
        <w:t>Direct access to data</w:t>
      </w:r>
    </w:p>
    <w:p w14:paraId="5C1456C8" w14:textId="34281066" w:rsidR="00012D41" w:rsidRDefault="00840DD7" w:rsidP="000C0402">
      <w:pPr>
        <w:spacing w:line="240" w:lineRule="auto"/>
        <w:jc w:val="both"/>
      </w:pPr>
      <w:r>
        <w:t xml:space="preserve">In 2017, </w:t>
      </w:r>
      <w:r w:rsidR="0074544E" w:rsidRPr="0074544E">
        <w:t xml:space="preserve">MEDIN </w:t>
      </w:r>
      <w:r w:rsidR="00DF2BBB">
        <w:t xml:space="preserve">provided </w:t>
      </w:r>
      <w:r w:rsidR="0074544E" w:rsidRPr="0074544E">
        <w:t>fund</w:t>
      </w:r>
      <w:r w:rsidR="00DF2BBB">
        <w:t>ing to three DACs (BGS</w:t>
      </w:r>
      <w:r w:rsidR="00DF2BBB" w:rsidRPr="0074544E">
        <w:t>, BODC and DASSH</w:t>
      </w:r>
      <w:r w:rsidR="00DF2BBB">
        <w:t>) for projects</w:t>
      </w:r>
      <w:r w:rsidR="0074544E" w:rsidRPr="0074544E">
        <w:t xml:space="preserve"> to increase direct access to data. </w:t>
      </w:r>
      <w:r>
        <w:t xml:space="preserve">At the </w:t>
      </w:r>
      <w:r w:rsidR="00DF2BBB">
        <w:t>previous</w:t>
      </w:r>
      <w:r>
        <w:t xml:space="preserve"> meeting, </w:t>
      </w:r>
      <w:r w:rsidR="00DF2BBB">
        <w:t xml:space="preserve">progress updates indicated that </w:t>
      </w:r>
      <w:r>
        <w:t>there was</w:t>
      </w:r>
      <w:r w:rsidR="00DF2BBB">
        <w:t xml:space="preserve"> still some work to be finished </w:t>
      </w:r>
      <w:r w:rsidR="00295BF2">
        <w:t xml:space="preserve">to complete the projects </w:t>
      </w:r>
      <w:r w:rsidR="00DF2BBB">
        <w:t>and the DACs were asked to provide a</w:t>
      </w:r>
      <w:r w:rsidR="00295BF2">
        <w:t>n</w:t>
      </w:r>
      <w:r w:rsidR="00DF2BBB">
        <w:t xml:space="preserve"> update.</w:t>
      </w:r>
    </w:p>
    <w:p w14:paraId="366AC40D" w14:textId="77777777" w:rsidR="00104F06" w:rsidRDefault="00134363" w:rsidP="000C0402">
      <w:pPr>
        <w:pStyle w:val="ListParagraph"/>
        <w:numPr>
          <w:ilvl w:val="0"/>
          <w:numId w:val="30"/>
        </w:numPr>
        <w:spacing w:line="240" w:lineRule="auto"/>
        <w:jc w:val="both"/>
      </w:pPr>
      <w:r>
        <w:t>DASSH reported that the</w:t>
      </w:r>
      <w:r w:rsidR="00104F06">
        <w:t>ir</w:t>
      </w:r>
      <w:r>
        <w:t xml:space="preserve"> metadata tool needs to be finalised before the online minting tool is completed.</w:t>
      </w:r>
      <w:r w:rsidR="00C94DFE">
        <w:t xml:space="preserve"> </w:t>
      </w:r>
    </w:p>
    <w:p w14:paraId="6880BAEF" w14:textId="77777777" w:rsidR="00104F06" w:rsidRDefault="00C94DFE" w:rsidP="000C0402">
      <w:pPr>
        <w:pStyle w:val="ListParagraph"/>
        <w:numPr>
          <w:ilvl w:val="0"/>
          <w:numId w:val="30"/>
        </w:numPr>
        <w:spacing w:line="240" w:lineRule="auto"/>
        <w:jc w:val="both"/>
      </w:pPr>
      <w:r>
        <w:t xml:space="preserve">BGS estimated that there was 2-3 </w:t>
      </w:r>
      <w:r w:rsidR="00050B22">
        <w:t>weeks’ worth</w:t>
      </w:r>
      <w:r>
        <w:t xml:space="preserve"> of coding left to do and the work to link backscatter survey data would be completed. </w:t>
      </w:r>
    </w:p>
    <w:p w14:paraId="51F045DC" w14:textId="1CEE6D25" w:rsidR="00134363" w:rsidRDefault="00104F06" w:rsidP="000C0402">
      <w:pPr>
        <w:pStyle w:val="ListParagraph"/>
        <w:numPr>
          <w:ilvl w:val="0"/>
          <w:numId w:val="30"/>
        </w:numPr>
        <w:spacing w:line="240" w:lineRule="auto"/>
        <w:jc w:val="both"/>
      </w:pPr>
      <w:r>
        <w:t xml:space="preserve">All BODC records held in the MEDIN catalogue now have </w:t>
      </w:r>
      <w:r w:rsidR="00C94DFE">
        <w:t>direct access to data</w:t>
      </w:r>
      <w:r>
        <w:t>.</w:t>
      </w:r>
      <w:r w:rsidR="00C94DFE">
        <w:t xml:space="preserve"> There is some work to do to expose legacy data sets and provide a direct link.</w:t>
      </w:r>
    </w:p>
    <w:p w14:paraId="01DDF48B" w14:textId="0439246E" w:rsidR="00295BF2" w:rsidRPr="0074544E" w:rsidRDefault="00295BF2" w:rsidP="000C0402">
      <w:pPr>
        <w:spacing w:line="240" w:lineRule="auto"/>
        <w:jc w:val="both"/>
      </w:pPr>
      <w:r>
        <w:t>The DACs were urged to complete the work to ensure users of the MEDIN portal can benefit from the developments.</w:t>
      </w:r>
    </w:p>
    <w:p w14:paraId="50609203" w14:textId="2B2ADCB3" w:rsidR="0023045B" w:rsidRPr="00C94DFE" w:rsidRDefault="00C94DFE" w:rsidP="000C0402">
      <w:pPr>
        <w:spacing w:line="240" w:lineRule="auto"/>
        <w:jc w:val="both"/>
        <w:rPr>
          <w:u w:val="single"/>
        </w:rPr>
      </w:pPr>
      <w:r w:rsidRPr="00C94DFE">
        <w:rPr>
          <w:u w:val="single"/>
        </w:rPr>
        <w:lastRenderedPageBreak/>
        <w:t>3(b)</w:t>
      </w:r>
      <w:r w:rsidR="0023045B" w:rsidRPr="00C94DFE">
        <w:rPr>
          <w:u w:val="single"/>
        </w:rPr>
        <w:t xml:space="preserve"> </w:t>
      </w:r>
      <w:r w:rsidR="00E926F2" w:rsidRPr="00C94DFE">
        <w:rPr>
          <w:u w:val="single"/>
        </w:rPr>
        <w:t>Small-scale</w:t>
      </w:r>
      <w:r w:rsidRPr="00C94DFE">
        <w:rPr>
          <w:u w:val="single"/>
        </w:rPr>
        <w:t xml:space="preserve"> projects</w:t>
      </w:r>
    </w:p>
    <w:p w14:paraId="65F1AB46" w14:textId="044D06B6" w:rsidR="003A5417" w:rsidRDefault="00C94DFE" w:rsidP="000C0402">
      <w:pPr>
        <w:spacing w:line="240" w:lineRule="auto"/>
        <w:jc w:val="both"/>
      </w:pPr>
      <w:r w:rsidRPr="00C94DFE">
        <w:t xml:space="preserve">A call for </w:t>
      </w:r>
      <w:r w:rsidR="00E926F2" w:rsidRPr="00C94DFE">
        <w:t>small-scale</w:t>
      </w:r>
      <w:r w:rsidRPr="00C94DFE">
        <w:t xml:space="preserve"> projects to increase access to industry data was </w:t>
      </w:r>
      <w:r w:rsidR="00104F06">
        <w:t>advertised</w:t>
      </w:r>
      <w:r w:rsidRPr="00C94DFE">
        <w:t xml:space="preserve"> in July</w:t>
      </w:r>
      <w:r w:rsidR="00104F06">
        <w:t>, but o</w:t>
      </w:r>
      <w:r>
        <w:t>nly one</w:t>
      </w:r>
      <w:r w:rsidRPr="00C94DFE">
        <w:t xml:space="preserve"> application for funding was received</w:t>
      </w:r>
      <w:r w:rsidR="00104F06">
        <w:t xml:space="preserve">. The reason for fewer applications this year was down to the timing of the call, rather than being due to </w:t>
      </w:r>
      <w:r>
        <w:t>amount of funding</w:t>
      </w:r>
      <w:r w:rsidR="00104F06">
        <w:t xml:space="preserve"> on offer or the </w:t>
      </w:r>
      <w:r>
        <w:t xml:space="preserve">industry data requirement. </w:t>
      </w:r>
    </w:p>
    <w:p w14:paraId="1AEA034F" w14:textId="44FE2390" w:rsidR="00C94DFE" w:rsidRDefault="00C94DFE" w:rsidP="000C0402">
      <w:pPr>
        <w:spacing w:line="240" w:lineRule="auto"/>
        <w:jc w:val="both"/>
      </w:pPr>
      <w:r>
        <w:t xml:space="preserve">The DACs would like another call next year. In addition to this, it was decided to </w:t>
      </w:r>
      <w:r w:rsidR="00295BF2">
        <w:t>invite</w:t>
      </w:r>
      <w:r>
        <w:t xml:space="preserve"> bids up to £15</w:t>
      </w:r>
      <w:r w:rsidR="00295BF2">
        <w:t>K</w:t>
      </w:r>
      <w:r>
        <w:t xml:space="preserve">, with the proviso that the funding is spent by the end of this FY. The theme </w:t>
      </w:r>
      <w:r w:rsidR="00032734">
        <w:t>has been broadened out to include direct access to data, industry data and monitoring data.</w:t>
      </w:r>
    </w:p>
    <w:p w14:paraId="15CAB71A" w14:textId="6567F329" w:rsidR="00032734" w:rsidRPr="00050B22" w:rsidRDefault="00032734" w:rsidP="000C0402">
      <w:pPr>
        <w:spacing w:line="240" w:lineRule="auto"/>
        <w:jc w:val="both"/>
        <w:rPr>
          <w:b/>
          <w:i/>
        </w:rPr>
      </w:pPr>
      <w:r w:rsidRPr="00050B22">
        <w:rPr>
          <w:b/>
          <w:i/>
        </w:rPr>
        <w:t>Acton</w:t>
      </w:r>
      <w:r w:rsidR="009978BB">
        <w:rPr>
          <w:b/>
          <w:i/>
        </w:rPr>
        <w:t xml:space="preserve"> 7.1</w:t>
      </w:r>
      <w:r w:rsidRPr="00050B22">
        <w:rPr>
          <w:b/>
          <w:i/>
        </w:rPr>
        <w:t>: C</w:t>
      </w:r>
      <w:r w:rsidR="00EC7EAE">
        <w:rPr>
          <w:b/>
          <w:i/>
        </w:rPr>
        <w:t xml:space="preserve">lare </w:t>
      </w:r>
      <w:r w:rsidRPr="00050B22">
        <w:rPr>
          <w:b/>
          <w:i/>
        </w:rPr>
        <w:t>P</w:t>
      </w:r>
      <w:r w:rsidR="00EC7EAE">
        <w:rPr>
          <w:b/>
          <w:i/>
        </w:rPr>
        <w:t>ostlethwaite</w:t>
      </w:r>
      <w:r w:rsidRPr="00050B22">
        <w:rPr>
          <w:b/>
          <w:i/>
        </w:rPr>
        <w:t xml:space="preserve"> </w:t>
      </w:r>
      <w:r w:rsidR="00F56058">
        <w:rPr>
          <w:b/>
          <w:i/>
        </w:rPr>
        <w:t>to issue another call for small-</w:t>
      </w:r>
      <w:r w:rsidRPr="00050B22">
        <w:rPr>
          <w:b/>
          <w:i/>
        </w:rPr>
        <w:t>scale projects to be completed by end of this FY.</w:t>
      </w:r>
    </w:p>
    <w:p w14:paraId="5A43AF9E" w14:textId="6B771FAD" w:rsidR="00DE01BE" w:rsidRDefault="00DE01BE" w:rsidP="000C0402">
      <w:pPr>
        <w:spacing w:line="240" w:lineRule="auto"/>
        <w:jc w:val="both"/>
        <w:rPr>
          <w:u w:val="single"/>
        </w:rPr>
      </w:pPr>
      <w:r>
        <w:rPr>
          <w:u w:val="single"/>
        </w:rPr>
        <w:t>3(c) Update on Crown Estate Scotland data</w:t>
      </w:r>
    </w:p>
    <w:p w14:paraId="54072004" w14:textId="7B41332C" w:rsidR="00DE01BE" w:rsidRDefault="00EC7EAE" w:rsidP="000C0402">
      <w:pPr>
        <w:spacing w:line="240" w:lineRule="auto"/>
        <w:jc w:val="both"/>
      </w:pPr>
      <w:r>
        <w:t>In July 2017, Clare Postlethwaite</w:t>
      </w:r>
      <w:r w:rsidR="00DE01BE">
        <w:t xml:space="preserve"> met with Crown Estate Scotland (CES) and Martyn Cox</w:t>
      </w:r>
      <w:r w:rsidR="00295BF2">
        <w:t xml:space="preserve"> (Scottish Government)</w:t>
      </w:r>
      <w:r w:rsidR="00DE01BE">
        <w:t xml:space="preserve">. As CES </w:t>
      </w:r>
      <w:r w:rsidR="00AF3E12">
        <w:t>devolved</w:t>
      </w:r>
      <w:r w:rsidR="00DE01BE">
        <w:t xml:space="preserve"> from T</w:t>
      </w:r>
      <w:r w:rsidR="00295BF2">
        <w:t xml:space="preserve">he </w:t>
      </w:r>
      <w:r w:rsidR="00DE01BE">
        <w:t>C</w:t>
      </w:r>
      <w:r w:rsidR="00295BF2">
        <w:t xml:space="preserve">rown </w:t>
      </w:r>
      <w:r w:rsidR="00DE01BE">
        <w:t>E</w:t>
      </w:r>
      <w:r w:rsidR="00295BF2">
        <w:t>state (TCE)</w:t>
      </w:r>
      <w:r w:rsidR="00DE01BE">
        <w:t xml:space="preserve"> </w:t>
      </w:r>
      <w:r w:rsidR="00AF3E12">
        <w:t>in</w:t>
      </w:r>
      <w:r w:rsidR="00DE01BE">
        <w:t xml:space="preserve"> April</w:t>
      </w:r>
      <w:r w:rsidR="00AF3E12">
        <w:t xml:space="preserve"> 2017</w:t>
      </w:r>
      <w:r w:rsidR="00DE01BE">
        <w:t xml:space="preserve">, they no longer have access to </w:t>
      </w:r>
      <w:r w:rsidR="00AF3E12">
        <w:t xml:space="preserve">the </w:t>
      </w:r>
      <w:r w:rsidR="00DE01BE">
        <w:t>M</w:t>
      </w:r>
      <w:r w:rsidR="00AF3E12">
        <w:t xml:space="preserve">arine </w:t>
      </w:r>
      <w:r w:rsidR="00DE01BE">
        <w:t>D</w:t>
      </w:r>
      <w:r w:rsidR="00AF3E12">
        <w:t xml:space="preserve">ata </w:t>
      </w:r>
      <w:r w:rsidR="00DE01BE">
        <w:t>E</w:t>
      </w:r>
      <w:r w:rsidR="00AF3E12">
        <w:t>xchange</w:t>
      </w:r>
      <w:r w:rsidR="00DE01BE">
        <w:t xml:space="preserve"> </w:t>
      </w:r>
      <w:r w:rsidR="00AF3E12">
        <w:t xml:space="preserve">(MDE) </w:t>
      </w:r>
      <w:r w:rsidR="00DE01BE">
        <w:t xml:space="preserve">to manage their data and are looking </w:t>
      </w:r>
      <w:r>
        <w:t>for an alternative mechanism. Clare Postlethwaite</w:t>
      </w:r>
      <w:r w:rsidR="00DE01BE">
        <w:t xml:space="preserve"> used the documentation prepared for the pilot study to archive MDE data at the DACs to help inform CES about the process involved and </w:t>
      </w:r>
      <w:r w:rsidR="009978BB">
        <w:t xml:space="preserve">indicate </w:t>
      </w:r>
      <w:r w:rsidR="00DE01BE">
        <w:t>the likely archive costs. A follow-up meeting with CES is arranged for 29</w:t>
      </w:r>
      <w:r w:rsidR="00DE01BE" w:rsidRPr="00DE01BE">
        <w:rPr>
          <w:vertAlign w:val="superscript"/>
        </w:rPr>
        <w:t>th</w:t>
      </w:r>
      <w:r w:rsidR="00DE01BE">
        <w:t xml:space="preserve"> November</w:t>
      </w:r>
      <w:r w:rsidR="00AF3E12">
        <w:t xml:space="preserve"> 2017</w:t>
      </w:r>
      <w:r w:rsidR="00DE01BE">
        <w:t>.</w:t>
      </w:r>
    </w:p>
    <w:p w14:paraId="165BD907" w14:textId="50EDB85F" w:rsidR="00DE01BE" w:rsidRDefault="00DE01BE" w:rsidP="000C0402">
      <w:pPr>
        <w:spacing w:line="240" w:lineRule="auto"/>
        <w:jc w:val="both"/>
        <w:rPr>
          <w:u w:val="single"/>
        </w:rPr>
      </w:pPr>
      <w:r>
        <w:rPr>
          <w:u w:val="single"/>
        </w:rPr>
        <w:t>3(d) INSPIRE compliance update</w:t>
      </w:r>
    </w:p>
    <w:p w14:paraId="4AC6F65E" w14:textId="0F552855" w:rsidR="00DE01BE" w:rsidRDefault="00DE01BE" w:rsidP="000C0402">
      <w:pPr>
        <w:spacing w:line="240" w:lineRule="auto"/>
        <w:jc w:val="both"/>
      </w:pPr>
      <w:r>
        <w:t>L</w:t>
      </w:r>
      <w:r w:rsidR="00EC7EAE">
        <w:t xml:space="preserve">esley </w:t>
      </w:r>
      <w:r>
        <w:t>R</w:t>
      </w:r>
      <w:r w:rsidR="00EC7EAE">
        <w:t>ickards</w:t>
      </w:r>
      <w:r>
        <w:t xml:space="preserve"> has produced a table to show the status of INSPIRE compliance across the DACs, a concise version of which will be published on the MEDIN website. There are a couple of areas where </w:t>
      </w:r>
      <w:r w:rsidR="00AF3E12">
        <w:t>further clarification is required</w:t>
      </w:r>
      <w:r>
        <w:t xml:space="preserve"> and she asked that the DACs check this table.</w:t>
      </w:r>
    </w:p>
    <w:p w14:paraId="2B6B3672" w14:textId="2452396F" w:rsidR="00DE01BE" w:rsidRPr="00050B22" w:rsidRDefault="00DE01BE" w:rsidP="000C0402">
      <w:pPr>
        <w:spacing w:line="240" w:lineRule="auto"/>
        <w:jc w:val="both"/>
        <w:rPr>
          <w:b/>
          <w:i/>
        </w:rPr>
      </w:pPr>
      <w:r w:rsidRPr="00050B22">
        <w:rPr>
          <w:b/>
          <w:i/>
        </w:rPr>
        <w:t>Action</w:t>
      </w:r>
      <w:r w:rsidR="009978BB">
        <w:rPr>
          <w:b/>
          <w:i/>
        </w:rPr>
        <w:t xml:space="preserve"> 7.2</w:t>
      </w:r>
      <w:r w:rsidRPr="00050B22">
        <w:rPr>
          <w:b/>
          <w:i/>
        </w:rPr>
        <w:t>: DACs to check their status for INSPIRE compliance is portrayed correctly in the INSPIRE table. Respond to L</w:t>
      </w:r>
      <w:r w:rsidR="00EC7EAE">
        <w:rPr>
          <w:b/>
          <w:i/>
        </w:rPr>
        <w:t xml:space="preserve">esley </w:t>
      </w:r>
      <w:r w:rsidRPr="00050B22">
        <w:rPr>
          <w:b/>
          <w:i/>
        </w:rPr>
        <w:t>R</w:t>
      </w:r>
      <w:r w:rsidR="00EC7EAE">
        <w:rPr>
          <w:b/>
          <w:i/>
        </w:rPr>
        <w:t>ickards</w:t>
      </w:r>
      <w:r w:rsidRPr="00050B22">
        <w:rPr>
          <w:b/>
          <w:i/>
        </w:rPr>
        <w:t xml:space="preserve"> before 22</w:t>
      </w:r>
      <w:r w:rsidRPr="00050B22">
        <w:rPr>
          <w:b/>
          <w:i/>
          <w:vertAlign w:val="superscript"/>
        </w:rPr>
        <w:t>nd</w:t>
      </w:r>
      <w:r w:rsidRPr="00050B22">
        <w:rPr>
          <w:b/>
          <w:i/>
        </w:rPr>
        <w:t xml:space="preserve"> December 2017.</w:t>
      </w:r>
    </w:p>
    <w:p w14:paraId="288117E1" w14:textId="72506BAE" w:rsidR="00993230" w:rsidRDefault="00993230" w:rsidP="000C0402">
      <w:pPr>
        <w:spacing w:line="240" w:lineRule="auto"/>
        <w:jc w:val="both"/>
        <w:rPr>
          <w:u w:val="single"/>
        </w:rPr>
      </w:pPr>
      <w:r>
        <w:rPr>
          <w:u w:val="single"/>
        </w:rPr>
        <w:t>3(e) Metrics for annual report</w:t>
      </w:r>
    </w:p>
    <w:p w14:paraId="123FF8B6" w14:textId="20012635" w:rsidR="00993230" w:rsidRDefault="00993230" w:rsidP="000C0402">
      <w:pPr>
        <w:spacing w:line="240" w:lineRule="auto"/>
        <w:jc w:val="both"/>
      </w:pPr>
      <w:r>
        <w:t>L</w:t>
      </w:r>
      <w:r w:rsidR="00EC7EAE">
        <w:t xml:space="preserve">esley </w:t>
      </w:r>
      <w:r>
        <w:t>R</w:t>
      </w:r>
      <w:r w:rsidR="00EC7EAE">
        <w:t>ickards</w:t>
      </w:r>
      <w:r>
        <w:t xml:space="preserve"> encountered issues when compiling the statistics for the DAC annual report, </w:t>
      </w:r>
      <w:r w:rsidR="00823CBD">
        <w:t xml:space="preserve">especially </w:t>
      </w:r>
      <w:r>
        <w:t xml:space="preserve">variability in the information received for number of datasets accessed/requested. Different DACs are </w:t>
      </w:r>
      <w:r w:rsidR="009978BB">
        <w:t xml:space="preserve">providing different information for </w:t>
      </w:r>
      <w:r>
        <w:t>this metric, making it difficult to make comparisons</w:t>
      </w:r>
      <w:r w:rsidR="009978BB">
        <w:t>.</w:t>
      </w:r>
      <w:r>
        <w:t xml:space="preserve"> </w:t>
      </w:r>
      <w:r w:rsidR="00AF3E12">
        <w:t xml:space="preserve">In particular: </w:t>
      </w:r>
    </w:p>
    <w:p w14:paraId="3585169A" w14:textId="7A11D017" w:rsidR="00823CBD" w:rsidRDefault="00AF3E12" w:rsidP="000C0402">
      <w:pPr>
        <w:pStyle w:val="ListParagraph"/>
        <w:numPr>
          <w:ilvl w:val="0"/>
          <w:numId w:val="27"/>
        </w:numPr>
        <w:spacing w:line="240" w:lineRule="auto"/>
        <w:jc w:val="both"/>
      </w:pPr>
      <w:r>
        <w:t>It is d</w:t>
      </w:r>
      <w:r w:rsidR="00823CBD">
        <w:t xml:space="preserve">ifficult to get consistency across DACs, but </w:t>
      </w:r>
      <w:r>
        <w:t xml:space="preserve">there </w:t>
      </w:r>
      <w:r w:rsidR="00823CBD">
        <w:t xml:space="preserve">should </w:t>
      </w:r>
      <w:r>
        <w:t>be</w:t>
      </w:r>
      <w:r w:rsidR="00823CBD">
        <w:t xml:space="preserve"> consistency within </w:t>
      </w:r>
      <w:r>
        <w:t xml:space="preserve">a </w:t>
      </w:r>
      <w:r w:rsidR="00823CBD">
        <w:t>DAC across years.</w:t>
      </w:r>
    </w:p>
    <w:p w14:paraId="7C1044C4" w14:textId="71FDD2F5" w:rsidR="00823CBD" w:rsidRDefault="00823CBD" w:rsidP="000C0402">
      <w:pPr>
        <w:pStyle w:val="ListParagraph"/>
        <w:numPr>
          <w:ilvl w:val="0"/>
          <w:numId w:val="27"/>
        </w:numPr>
        <w:spacing w:line="240" w:lineRule="auto"/>
        <w:jc w:val="both"/>
      </w:pPr>
      <w:r>
        <w:t xml:space="preserve">The metric should </w:t>
      </w:r>
      <w:r w:rsidR="00BD145D">
        <w:t xml:space="preserve">focus on </w:t>
      </w:r>
      <w:r w:rsidR="00F56058">
        <w:t>being</w:t>
      </w:r>
      <w:r>
        <w:t xml:space="preserve"> as close to download as possible, not just someone landing on a page.</w:t>
      </w:r>
    </w:p>
    <w:p w14:paraId="574C9457" w14:textId="1A398A35" w:rsidR="00823CBD" w:rsidRDefault="00823CBD" w:rsidP="000C0402">
      <w:pPr>
        <w:pStyle w:val="ListParagraph"/>
        <w:numPr>
          <w:ilvl w:val="0"/>
          <w:numId w:val="27"/>
        </w:numPr>
        <w:spacing w:line="240" w:lineRule="auto"/>
        <w:jc w:val="both"/>
      </w:pPr>
      <w:r>
        <w:t>Suggestion that by taking metrics from the MEDIN portal, it would be consistent across the DACs.</w:t>
      </w:r>
    </w:p>
    <w:p w14:paraId="2C77D917" w14:textId="1868FA2B" w:rsidR="00823CBD" w:rsidRDefault="00823CBD" w:rsidP="000C0402">
      <w:pPr>
        <w:spacing w:line="240" w:lineRule="auto"/>
        <w:jc w:val="both"/>
      </w:pPr>
      <w:r>
        <w:t>The MEDIN Sponsors are very interested in the breakdown of MEDIN users. DASSH are able to provide this information because NBN captures it. HES</w:t>
      </w:r>
      <w:r w:rsidR="00AF3E12">
        <w:t xml:space="preserve"> and</w:t>
      </w:r>
      <w:r>
        <w:t xml:space="preserve"> BGS are unable to </w:t>
      </w:r>
      <w:r w:rsidR="00050B22">
        <w:t>c</w:t>
      </w:r>
      <w:r>
        <w:t>apture this level of information. ADS attempted to previously, but it was dropped as getting requesters to provide this information was perceived to be a barrier to open access.</w:t>
      </w:r>
    </w:p>
    <w:p w14:paraId="234E71DD" w14:textId="6888C334" w:rsidR="00823CBD" w:rsidRPr="00050B22" w:rsidRDefault="00823CBD" w:rsidP="000C0402">
      <w:pPr>
        <w:spacing w:line="240" w:lineRule="auto"/>
        <w:jc w:val="both"/>
        <w:rPr>
          <w:b/>
          <w:i/>
        </w:rPr>
      </w:pPr>
      <w:r w:rsidRPr="00050B22">
        <w:rPr>
          <w:b/>
          <w:i/>
        </w:rPr>
        <w:t>Action</w:t>
      </w:r>
      <w:r w:rsidR="00BD145D">
        <w:rPr>
          <w:b/>
          <w:i/>
        </w:rPr>
        <w:t xml:space="preserve"> 7.3</w:t>
      </w:r>
      <w:r w:rsidRPr="00050B22">
        <w:rPr>
          <w:b/>
          <w:i/>
        </w:rPr>
        <w:t>: All DACs to feedback to L</w:t>
      </w:r>
      <w:r w:rsidR="00EC7EAE">
        <w:rPr>
          <w:b/>
          <w:i/>
        </w:rPr>
        <w:t xml:space="preserve">esley </w:t>
      </w:r>
      <w:r w:rsidRPr="00050B22">
        <w:rPr>
          <w:b/>
          <w:i/>
        </w:rPr>
        <w:t>R</w:t>
      </w:r>
      <w:r w:rsidR="00EC7EAE">
        <w:rPr>
          <w:b/>
          <w:i/>
        </w:rPr>
        <w:t>ickards</w:t>
      </w:r>
      <w:r w:rsidRPr="00050B22">
        <w:rPr>
          <w:b/>
          <w:i/>
        </w:rPr>
        <w:t xml:space="preserve"> by 22</w:t>
      </w:r>
      <w:r w:rsidRPr="00050B22">
        <w:rPr>
          <w:b/>
          <w:i/>
          <w:vertAlign w:val="superscript"/>
        </w:rPr>
        <w:t>nd</w:t>
      </w:r>
      <w:r w:rsidRPr="00050B22">
        <w:rPr>
          <w:b/>
          <w:i/>
        </w:rPr>
        <w:t xml:space="preserve"> December 2017 whether they can provide a breakdown each year of who is using their data.</w:t>
      </w:r>
    </w:p>
    <w:p w14:paraId="048AC377" w14:textId="77777777" w:rsidR="00EF1014" w:rsidRPr="0074544E" w:rsidRDefault="00EF1014" w:rsidP="000C0402">
      <w:pPr>
        <w:spacing w:line="240" w:lineRule="auto"/>
        <w:jc w:val="both"/>
        <w:rPr>
          <w:highlight w:val="yellow"/>
        </w:rPr>
      </w:pPr>
    </w:p>
    <w:p w14:paraId="5A796001" w14:textId="77777777" w:rsidR="00EF1014" w:rsidRPr="00050B22" w:rsidRDefault="00EF1014" w:rsidP="000C0402">
      <w:pPr>
        <w:spacing w:line="240" w:lineRule="auto"/>
        <w:jc w:val="both"/>
        <w:rPr>
          <w:b/>
        </w:rPr>
      </w:pPr>
      <w:r w:rsidRPr="00050B22">
        <w:rPr>
          <w:b/>
        </w:rPr>
        <w:t>4. DAC network status</w:t>
      </w:r>
    </w:p>
    <w:p w14:paraId="7D64F3E8" w14:textId="1B67C143" w:rsidR="00E673A7" w:rsidRPr="00050B22" w:rsidRDefault="00050B22" w:rsidP="000C0402">
      <w:pPr>
        <w:spacing w:line="240" w:lineRule="auto"/>
        <w:jc w:val="both"/>
        <w:rPr>
          <w:u w:val="single"/>
        </w:rPr>
      </w:pPr>
      <w:r>
        <w:rPr>
          <w:u w:val="single"/>
        </w:rPr>
        <w:t>4(a)</w:t>
      </w:r>
      <w:r w:rsidR="00E673A7" w:rsidRPr="00050B22">
        <w:rPr>
          <w:u w:val="single"/>
        </w:rPr>
        <w:t xml:space="preserve"> Update from DACs</w:t>
      </w:r>
    </w:p>
    <w:p w14:paraId="0418C1BF" w14:textId="766DDF62" w:rsidR="00EF1014" w:rsidRPr="00050B22" w:rsidRDefault="00EF1014" w:rsidP="000C0402">
      <w:pPr>
        <w:spacing w:line="240" w:lineRule="auto"/>
        <w:jc w:val="both"/>
        <w:rPr>
          <w:b/>
          <w:i/>
        </w:rPr>
      </w:pPr>
      <w:r w:rsidRPr="00050B22">
        <w:t xml:space="preserve">The DACs gave a brief verbal update on latest progress. </w:t>
      </w:r>
    </w:p>
    <w:p w14:paraId="17E7875B" w14:textId="3B234D19" w:rsidR="00D05729" w:rsidRPr="00FE2096" w:rsidRDefault="00FE2096" w:rsidP="000C0402">
      <w:pPr>
        <w:spacing w:line="240" w:lineRule="auto"/>
        <w:jc w:val="both"/>
        <w:rPr>
          <w:u w:val="single"/>
        </w:rPr>
      </w:pPr>
      <w:r w:rsidRPr="00FE2096">
        <w:rPr>
          <w:u w:val="single"/>
        </w:rPr>
        <w:t>4(b)</w:t>
      </w:r>
      <w:r w:rsidR="00D05729" w:rsidRPr="00FE2096">
        <w:rPr>
          <w:u w:val="single"/>
        </w:rPr>
        <w:t xml:space="preserve"> DAC accreditation process</w:t>
      </w:r>
    </w:p>
    <w:p w14:paraId="5C61ADE6" w14:textId="566862D8" w:rsidR="00FE2096" w:rsidRPr="00FE2096" w:rsidRDefault="00EC7EAE" w:rsidP="000C0402">
      <w:pPr>
        <w:jc w:val="both"/>
      </w:pPr>
      <w:r>
        <w:t>The M</w:t>
      </w:r>
      <w:r w:rsidR="00FE2096" w:rsidRPr="00FE2096">
        <w:t xml:space="preserve">arine </w:t>
      </w:r>
      <w:r>
        <w:t>M</w:t>
      </w:r>
      <w:r w:rsidR="00FE2096" w:rsidRPr="00FE2096">
        <w:t>eteorology DAC has submitted its reaccreditation, received feedback and once clarifications have been received, it will be completed. The FishDAC M</w:t>
      </w:r>
      <w:r w:rsidR="00BD145D">
        <w:t xml:space="preserve">arine </w:t>
      </w:r>
      <w:r w:rsidR="00FE2096" w:rsidRPr="00FE2096">
        <w:t>S</w:t>
      </w:r>
      <w:r w:rsidR="00BD145D">
        <w:t>cotland</w:t>
      </w:r>
      <w:r w:rsidR="00FE2096" w:rsidRPr="00FE2096">
        <w:t xml:space="preserve"> and Cefas </w:t>
      </w:r>
      <w:r w:rsidR="00AF3E12">
        <w:t>re</w:t>
      </w:r>
      <w:r w:rsidR="00FE2096" w:rsidRPr="00FE2096">
        <w:t>accreditation</w:t>
      </w:r>
      <w:r w:rsidR="00AF3E12">
        <w:t xml:space="preserve"> document</w:t>
      </w:r>
      <w:r w:rsidR="00FE2096" w:rsidRPr="00FE2096">
        <w:t xml:space="preserve">s have been received and are </w:t>
      </w:r>
      <w:r w:rsidR="00BD145D">
        <w:t xml:space="preserve">currently </w:t>
      </w:r>
      <w:r w:rsidR="00FE2096" w:rsidRPr="00FE2096">
        <w:t>being reviewed.</w:t>
      </w:r>
    </w:p>
    <w:p w14:paraId="34E50599" w14:textId="78E681BB" w:rsidR="00FE2096" w:rsidRPr="00FE2096" w:rsidRDefault="00BD145D" w:rsidP="000C0402">
      <w:pPr>
        <w:jc w:val="both"/>
      </w:pPr>
      <w:r>
        <w:t xml:space="preserve">It was noted that </w:t>
      </w:r>
      <w:r w:rsidR="00FE2096" w:rsidRPr="00FE2096">
        <w:t xml:space="preserve">ADS is also due for reaccreditation. </w:t>
      </w:r>
      <w:r w:rsidR="00FE2096">
        <w:t>Marine Data News should anno</w:t>
      </w:r>
      <w:r>
        <w:t>unce the reaccreditation of DACs</w:t>
      </w:r>
      <w:r w:rsidR="00FE2096">
        <w:t>.</w:t>
      </w:r>
    </w:p>
    <w:p w14:paraId="1D0BA5B6" w14:textId="55AE4611" w:rsidR="00FE2096" w:rsidRDefault="00FE2096" w:rsidP="000C0402">
      <w:pPr>
        <w:jc w:val="both"/>
        <w:rPr>
          <w:b/>
          <w:i/>
        </w:rPr>
      </w:pPr>
      <w:r w:rsidRPr="00FE2096">
        <w:rPr>
          <w:b/>
          <w:i/>
        </w:rPr>
        <w:t>Action</w:t>
      </w:r>
      <w:r w:rsidR="00BD145D">
        <w:rPr>
          <w:b/>
          <w:i/>
        </w:rPr>
        <w:t xml:space="preserve"> 7.4</w:t>
      </w:r>
      <w:r w:rsidRPr="00FE2096">
        <w:rPr>
          <w:b/>
          <w:i/>
        </w:rPr>
        <w:t>: L</w:t>
      </w:r>
      <w:r w:rsidR="00EC7EAE">
        <w:rPr>
          <w:b/>
          <w:i/>
        </w:rPr>
        <w:t xml:space="preserve">esley </w:t>
      </w:r>
      <w:r w:rsidRPr="00FE2096">
        <w:rPr>
          <w:b/>
          <w:i/>
        </w:rPr>
        <w:t>R</w:t>
      </w:r>
      <w:r w:rsidR="00EC7EAE">
        <w:rPr>
          <w:b/>
          <w:i/>
        </w:rPr>
        <w:t>ickards</w:t>
      </w:r>
      <w:r w:rsidRPr="00FE2096">
        <w:rPr>
          <w:b/>
          <w:i/>
        </w:rPr>
        <w:t>/R</w:t>
      </w:r>
      <w:r w:rsidR="00EC7EAE">
        <w:rPr>
          <w:b/>
          <w:i/>
        </w:rPr>
        <w:t xml:space="preserve">obin </w:t>
      </w:r>
      <w:r w:rsidRPr="00FE2096">
        <w:rPr>
          <w:b/>
          <w:i/>
        </w:rPr>
        <w:t>M</w:t>
      </w:r>
      <w:r w:rsidR="00EC7EAE">
        <w:rPr>
          <w:b/>
          <w:i/>
        </w:rPr>
        <w:t>cCandliss</w:t>
      </w:r>
      <w:r w:rsidRPr="00FE2096">
        <w:rPr>
          <w:b/>
          <w:i/>
        </w:rPr>
        <w:t xml:space="preserve"> to send ADS the </w:t>
      </w:r>
      <w:r w:rsidR="00BD145D">
        <w:rPr>
          <w:b/>
          <w:i/>
        </w:rPr>
        <w:t xml:space="preserve">DAC </w:t>
      </w:r>
      <w:r w:rsidRPr="00FE2096">
        <w:rPr>
          <w:b/>
          <w:i/>
        </w:rPr>
        <w:t>reaccreditation form.</w:t>
      </w:r>
    </w:p>
    <w:p w14:paraId="2DDD6CFC" w14:textId="56CFF43B" w:rsidR="00F43D24" w:rsidRPr="00FE2096" w:rsidRDefault="00F43D24" w:rsidP="000C0402">
      <w:pPr>
        <w:jc w:val="both"/>
        <w:rPr>
          <w:b/>
          <w:i/>
        </w:rPr>
      </w:pPr>
      <w:r>
        <w:rPr>
          <w:b/>
          <w:i/>
        </w:rPr>
        <w:t>Action</w:t>
      </w:r>
      <w:r w:rsidR="00BD145D">
        <w:rPr>
          <w:b/>
          <w:i/>
        </w:rPr>
        <w:t xml:space="preserve"> 7.5:</w:t>
      </w:r>
      <w:r>
        <w:rPr>
          <w:b/>
          <w:i/>
        </w:rPr>
        <w:t xml:space="preserve"> C</w:t>
      </w:r>
      <w:r w:rsidR="00EC7EAE">
        <w:rPr>
          <w:b/>
          <w:i/>
        </w:rPr>
        <w:t xml:space="preserve">harlotte </w:t>
      </w:r>
      <w:r>
        <w:rPr>
          <w:b/>
          <w:i/>
        </w:rPr>
        <w:t>M</w:t>
      </w:r>
      <w:r w:rsidR="00EC7EAE">
        <w:rPr>
          <w:b/>
          <w:i/>
        </w:rPr>
        <w:t>iskin-</w:t>
      </w:r>
      <w:r>
        <w:rPr>
          <w:b/>
          <w:i/>
        </w:rPr>
        <w:t>H</w:t>
      </w:r>
      <w:r w:rsidR="00EC7EAE">
        <w:rPr>
          <w:b/>
          <w:i/>
        </w:rPr>
        <w:t>ymas</w:t>
      </w:r>
      <w:r>
        <w:rPr>
          <w:b/>
          <w:i/>
        </w:rPr>
        <w:t xml:space="preserve"> to include recent DAC reaccreditations in </w:t>
      </w:r>
      <w:bookmarkStart w:id="0" w:name="_GoBack"/>
      <w:bookmarkEnd w:id="0"/>
      <w:r>
        <w:rPr>
          <w:b/>
          <w:i/>
        </w:rPr>
        <w:t>MDN.</w:t>
      </w:r>
    </w:p>
    <w:p w14:paraId="53D82630" w14:textId="4FD51B04" w:rsidR="00FE2096" w:rsidRDefault="006A5DDB" w:rsidP="000C0402">
      <w:pPr>
        <w:jc w:val="both"/>
      </w:pPr>
      <w:r w:rsidRPr="006A5DDB">
        <w:t>L</w:t>
      </w:r>
      <w:r w:rsidR="00EC7EAE">
        <w:t xml:space="preserve">esley </w:t>
      </w:r>
      <w:r w:rsidRPr="006A5DDB">
        <w:t>R</w:t>
      </w:r>
      <w:r w:rsidR="00EC7EAE">
        <w:t>ickards</w:t>
      </w:r>
      <w:r w:rsidRPr="006A5DDB">
        <w:t xml:space="preserve"> has a MEDIN </w:t>
      </w:r>
      <w:r w:rsidRPr="006A5DDB">
        <w:sym w:font="Wingdings" w:char="F0FC"/>
      </w:r>
      <w:r w:rsidRPr="006A5DDB">
        <w:t xml:space="preserve"> logo that accredited DACs could use on their webpages</w:t>
      </w:r>
      <w:r>
        <w:t>.</w:t>
      </w:r>
      <w:r w:rsidRPr="006A5DDB">
        <w:t xml:space="preserve"> </w:t>
      </w:r>
      <w:r w:rsidR="00D04255">
        <w:t xml:space="preserve">The DACs </w:t>
      </w:r>
      <w:r w:rsidR="00BD145D">
        <w:t>are</w:t>
      </w:r>
      <w:r w:rsidR="00D04255">
        <w:t xml:space="preserve"> in favour of sharing completed accreditation forms with other DACs that are going through the process.</w:t>
      </w:r>
    </w:p>
    <w:p w14:paraId="0648E193" w14:textId="060C13B6" w:rsidR="006A5DDB" w:rsidRDefault="00D04255" w:rsidP="000C0402">
      <w:pPr>
        <w:jc w:val="both"/>
      </w:pPr>
      <w:r>
        <w:t xml:space="preserve">CoreTrustSeal </w:t>
      </w:r>
      <w:r w:rsidR="00490451">
        <w:t>(</w:t>
      </w:r>
      <w:hyperlink r:id="rId7" w:history="1">
        <w:r w:rsidR="00490451" w:rsidRPr="00D47A62">
          <w:rPr>
            <w:rStyle w:val="Hyperlink"/>
          </w:rPr>
          <w:t>www.coretrustseal.org</w:t>
        </w:r>
      </w:hyperlink>
      <w:r w:rsidR="00490451">
        <w:t xml:space="preserve">) </w:t>
      </w:r>
      <w:r>
        <w:t>has been discussed previously as an option for accreditation of DACs, which could replace the MEDIN accreditation process</w:t>
      </w:r>
      <w:r w:rsidR="00490451">
        <w:t xml:space="preserve"> in the future</w:t>
      </w:r>
      <w:r>
        <w:t xml:space="preserve">. There are some DACs who are </w:t>
      </w:r>
      <w:r w:rsidR="00BC7127">
        <w:t>currently applying for accreditation with Core Trust Seal</w:t>
      </w:r>
      <w:r>
        <w:t xml:space="preserve"> (</w:t>
      </w:r>
      <w:r w:rsidR="00BC7127">
        <w:t>e.g.</w:t>
      </w:r>
      <w:r>
        <w:t xml:space="preserve"> </w:t>
      </w:r>
      <w:r w:rsidR="00AF3E12">
        <w:t>AD</w:t>
      </w:r>
      <w:r>
        <w:t xml:space="preserve">S) so the plan is to </w:t>
      </w:r>
      <w:r w:rsidR="00BC7127">
        <w:t xml:space="preserve">get feedback from </w:t>
      </w:r>
      <w:r w:rsidR="00AF3E12">
        <w:t>AD</w:t>
      </w:r>
      <w:r w:rsidR="00BC7127">
        <w:t>S once they have been through the process on how worthwhile it would be to adopt the Core Trust Seal as a means for accrediting MEDIN DACs.</w:t>
      </w:r>
    </w:p>
    <w:p w14:paraId="1F277A62" w14:textId="185CED2F" w:rsidR="006A5DDB" w:rsidRPr="00BC7127" w:rsidRDefault="00BC7127" w:rsidP="000C0402">
      <w:pPr>
        <w:jc w:val="both"/>
        <w:rPr>
          <w:u w:val="single"/>
        </w:rPr>
      </w:pPr>
      <w:r>
        <w:rPr>
          <w:u w:val="single"/>
        </w:rPr>
        <w:t xml:space="preserve">4(c) EMODnet </w:t>
      </w:r>
      <w:r w:rsidR="00A42EA0">
        <w:rPr>
          <w:u w:val="single"/>
        </w:rPr>
        <w:t>Data I</w:t>
      </w:r>
      <w:r>
        <w:rPr>
          <w:u w:val="single"/>
        </w:rPr>
        <w:t xml:space="preserve">ngestion </w:t>
      </w:r>
      <w:r w:rsidR="00A42EA0">
        <w:rPr>
          <w:u w:val="single"/>
        </w:rPr>
        <w:t xml:space="preserve">project </w:t>
      </w:r>
      <w:r>
        <w:rPr>
          <w:u w:val="single"/>
        </w:rPr>
        <w:t>update</w:t>
      </w:r>
    </w:p>
    <w:p w14:paraId="0AF6B877" w14:textId="702E99D9" w:rsidR="00BC7127" w:rsidRDefault="00BC7127" w:rsidP="000C0402">
      <w:pPr>
        <w:spacing w:before="100" w:beforeAutospacing="1" w:after="100" w:afterAutospacing="1"/>
        <w:jc w:val="both"/>
      </w:pPr>
      <w:r>
        <w:t>L</w:t>
      </w:r>
      <w:r w:rsidR="00EC7EAE">
        <w:t xml:space="preserve">esley </w:t>
      </w:r>
      <w:r>
        <w:t>R</w:t>
      </w:r>
      <w:r w:rsidR="00EC7EAE">
        <w:t>ickards</w:t>
      </w:r>
      <w:r>
        <w:t xml:space="preserve"> reported that there is some funding in the EMODnet </w:t>
      </w:r>
      <w:r w:rsidR="00A42EA0">
        <w:t>Data In</w:t>
      </w:r>
      <w:r>
        <w:t>gestion project at BODC that will be used to ingest some of the MDE Atlantic a</w:t>
      </w:r>
      <w:r w:rsidR="00BD145D">
        <w:t>nd Argyll array data as a proof-</w:t>
      </w:r>
      <w:r>
        <w:t>of</w:t>
      </w:r>
      <w:r w:rsidR="00BD145D">
        <w:t>-</w:t>
      </w:r>
      <w:r>
        <w:t>concept exercise.</w:t>
      </w:r>
      <w:r w:rsidR="00D33E19">
        <w:t xml:space="preserve"> BODC is working through </w:t>
      </w:r>
      <w:r w:rsidR="00E97111">
        <w:t>a</w:t>
      </w:r>
      <w:r w:rsidR="00D33E19">
        <w:t xml:space="preserve">n example data set, and the plan is for BGS and DASSH also </w:t>
      </w:r>
      <w:r w:rsidR="00A42EA0">
        <w:t xml:space="preserve">to </w:t>
      </w:r>
      <w:r w:rsidR="00D33E19">
        <w:t xml:space="preserve">ingest </w:t>
      </w:r>
      <w:r w:rsidR="00E97111">
        <w:t>a few</w:t>
      </w:r>
      <w:r w:rsidR="00D33E19">
        <w:t xml:space="preserve"> example data sets</w:t>
      </w:r>
      <w:r w:rsidR="00A42EA0">
        <w:t xml:space="preserve"> (BGS is a partner in the project and DASSH has some funding through EMODnet Biology)</w:t>
      </w:r>
      <w:r w:rsidR="00D33E19">
        <w:t xml:space="preserve">. In the longer term EMODnet Data Ingestion </w:t>
      </w:r>
      <w:r w:rsidR="00BA2DCE">
        <w:t xml:space="preserve">will investigate </w:t>
      </w:r>
      <w:r w:rsidR="00A42EA0">
        <w:t>making</w:t>
      </w:r>
      <w:r w:rsidR="00BA2DCE">
        <w:t xml:space="preserve"> MDE an </w:t>
      </w:r>
      <w:r w:rsidR="00E97111">
        <w:t>EMODnet Data Ingestion</w:t>
      </w:r>
      <w:r w:rsidR="00BA2DCE">
        <w:t xml:space="preserve"> node, to enable efficient sharing of metadata.</w:t>
      </w:r>
    </w:p>
    <w:p w14:paraId="18816F93" w14:textId="77777777" w:rsidR="00851AB2" w:rsidRDefault="00851AB2" w:rsidP="000C0402">
      <w:pPr>
        <w:spacing w:line="240" w:lineRule="auto"/>
        <w:jc w:val="both"/>
        <w:rPr>
          <w:b/>
        </w:rPr>
      </w:pPr>
    </w:p>
    <w:p w14:paraId="7421F127" w14:textId="3D7A50FB" w:rsidR="002C6C2C" w:rsidRPr="00BC7127" w:rsidRDefault="00EF1014" w:rsidP="000C0402">
      <w:pPr>
        <w:spacing w:line="240" w:lineRule="auto"/>
        <w:jc w:val="both"/>
        <w:rPr>
          <w:b/>
        </w:rPr>
      </w:pPr>
      <w:r w:rsidRPr="00BC7127">
        <w:rPr>
          <w:b/>
        </w:rPr>
        <w:t xml:space="preserve">5. </w:t>
      </w:r>
      <w:r w:rsidR="00481E42">
        <w:rPr>
          <w:b/>
        </w:rPr>
        <w:t>DAC Work Plan</w:t>
      </w:r>
    </w:p>
    <w:p w14:paraId="446F0DD7" w14:textId="63ED360D" w:rsidR="00EF1014" w:rsidRPr="00BC7127" w:rsidRDefault="00BC7127" w:rsidP="000C0402">
      <w:pPr>
        <w:spacing w:line="240" w:lineRule="auto"/>
        <w:jc w:val="both"/>
        <w:rPr>
          <w:u w:val="single"/>
        </w:rPr>
      </w:pPr>
      <w:r w:rsidRPr="00BC7127">
        <w:rPr>
          <w:u w:val="single"/>
        </w:rPr>
        <w:t>5(a)</w:t>
      </w:r>
      <w:r w:rsidR="00EF1014" w:rsidRPr="00BC7127">
        <w:rPr>
          <w:u w:val="single"/>
        </w:rPr>
        <w:t xml:space="preserve"> </w:t>
      </w:r>
      <w:r w:rsidRPr="00BC7127">
        <w:rPr>
          <w:u w:val="single"/>
        </w:rPr>
        <w:t>Next year’s work plan</w:t>
      </w:r>
    </w:p>
    <w:p w14:paraId="073D4A8F" w14:textId="664431A7" w:rsidR="00BC7127" w:rsidRDefault="00BC7127" w:rsidP="000C0402">
      <w:pPr>
        <w:spacing w:line="240" w:lineRule="auto"/>
        <w:jc w:val="both"/>
      </w:pPr>
      <w:r>
        <w:t xml:space="preserve">The MEDIN Sponsors have identified </w:t>
      </w:r>
      <w:r w:rsidR="00E926F2">
        <w:t>five</w:t>
      </w:r>
      <w:r>
        <w:t xml:space="preserve"> priorities for next FY, which can inform the DAC’s key targets in the work plan</w:t>
      </w:r>
      <w:r w:rsidR="00AF3E12">
        <w:t xml:space="preserve"> for 2018/19</w:t>
      </w:r>
      <w:r>
        <w:t>.</w:t>
      </w:r>
    </w:p>
    <w:p w14:paraId="155F089F" w14:textId="54CC2F7D" w:rsidR="00BC7127" w:rsidRDefault="008D324C" w:rsidP="000C0402">
      <w:pPr>
        <w:pStyle w:val="ListParagraph"/>
        <w:numPr>
          <w:ilvl w:val="0"/>
          <w:numId w:val="28"/>
        </w:numPr>
        <w:spacing w:line="240" w:lineRule="auto"/>
        <w:jc w:val="both"/>
      </w:pPr>
      <w:r>
        <w:t>Enhanced publicity</w:t>
      </w:r>
      <w:r w:rsidR="00BC7127">
        <w:t xml:space="preserve"> – MEDIN 10</w:t>
      </w:r>
      <w:r w:rsidR="00BC7127" w:rsidRPr="00BC7127">
        <w:rPr>
          <w:vertAlign w:val="superscript"/>
        </w:rPr>
        <w:t>th</w:t>
      </w:r>
      <w:r w:rsidR="00BC7127">
        <w:t xml:space="preserve"> birthday, extended partners meeting in April 2018, additional publicity during the year, highlighting MEDIN’s successes.</w:t>
      </w:r>
    </w:p>
    <w:p w14:paraId="2D3668F5" w14:textId="540C282B" w:rsidR="00BC7127" w:rsidRDefault="00BC7127" w:rsidP="000C0402">
      <w:pPr>
        <w:pStyle w:val="ListParagraph"/>
        <w:numPr>
          <w:ilvl w:val="0"/>
          <w:numId w:val="28"/>
        </w:numPr>
        <w:spacing w:line="240" w:lineRule="auto"/>
        <w:jc w:val="both"/>
      </w:pPr>
      <w:r>
        <w:t>Increasing direct access to data</w:t>
      </w:r>
    </w:p>
    <w:p w14:paraId="716DCE10" w14:textId="2BBAE664" w:rsidR="00BC7127" w:rsidRDefault="00BC7127" w:rsidP="000C0402">
      <w:pPr>
        <w:pStyle w:val="ListParagraph"/>
        <w:numPr>
          <w:ilvl w:val="0"/>
          <w:numId w:val="28"/>
        </w:numPr>
        <w:spacing w:line="240" w:lineRule="auto"/>
        <w:jc w:val="both"/>
      </w:pPr>
      <w:r>
        <w:t>Access to monitoring data</w:t>
      </w:r>
    </w:p>
    <w:p w14:paraId="3C2565F7" w14:textId="46D100A2" w:rsidR="00BC7127" w:rsidRDefault="00BC7127" w:rsidP="000C0402">
      <w:pPr>
        <w:pStyle w:val="ListParagraph"/>
        <w:numPr>
          <w:ilvl w:val="0"/>
          <w:numId w:val="28"/>
        </w:numPr>
        <w:spacing w:line="240" w:lineRule="auto"/>
        <w:jc w:val="both"/>
      </w:pPr>
      <w:r>
        <w:t>Interoperability – ensuring the system</w:t>
      </w:r>
      <w:r w:rsidR="00AF3E12">
        <w:t>s</w:t>
      </w:r>
      <w:r>
        <w:t xml:space="preserve"> remain appropriate</w:t>
      </w:r>
    </w:p>
    <w:p w14:paraId="56BF57E4" w14:textId="0ACA83B7" w:rsidR="00BC7127" w:rsidRDefault="00BC7127" w:rsidP="000C0402">
      <w:pPr>
        <w:pStyle w:val="ListParagraph"/>
        <w:numPr>
          <w:ilvl w:val="0"/>
          <w:numId w:val="28"/>
        </w:numPr>
        <w:spacing w:line="240" w:lineRule="auto"/>
        <w:jc w:val="both"/>
      </w:pPr>
      <w:r>
        <w:t>Cost-benefit examples</w:t>
      </w:r>
    </w:p>
    <w:p w14:paraId="0E3BA659" w14:textId="7E6B6C60" w:rsidR="008D324C" w:rsidRDefault="008D324C" w:rsidP="000C0402">
      <w:pPr>
        <w:spacing w:line="240" w:lineRule="auto"/>
        <w:jc w:val="both"/>
      </w:pPr>
      <w:r>
        <w:t>The DAC WG agreed the following key targets for next year’s work plan:</w:t>
      </w:r>
    </w:p>
    <w:p w14:paraId="20F178E0" w14:textId="6F4FFE65" w:rsidR="008D324C" w:rsidRPr="008D324C" w:rsidRDefault="008D324C" w:rsidP="000C0402">
      <w:pPr>
        <w:spacing w:line="240" w:lineRule="auto"/>
        <w:jc w:val="both"/>
      </w:pPr>
      <w:r>
        <w:t>KT 1.1:</w:t>
      </w:r>
      <w:r w:rsidRPr="008D324C">
        <w:rPr>
          <w:rFonts w:cs="Arial"/>
          <w:i/>
        </w:rPr>
        <w:t xml:space="preserve"> </w:t>
      </w:r>
      <w:r>
        <w:rPr>
          <w:rFonts w:cs="Arial"/>
        </w:rPr>
        <w:t>Archiving -</w:t>
      </w:r>
      <w:r w:rsidRPr="008D324C">
        <w:rPr>
          <w:rFonts w:cs="Arial"/>
        </w:rPr>
        <w:t xml:space="preserve"> maintain or improve upon 2012 levels of archiving across the DAC network, demonstrate use of c</w:t>
      </w:r>
      <w:r>
        <w:rPr>
          <w:rFonts w:cs="Arial"/>
        </w:rPr>
        <w:t>entralized archiving guidelines.</w:t>
      </w:r>
    </w:p>
    <w:p w14:paraId="79203641" w14:textId="6ADF6B70" w:rsidR="008D324C" w:rsidRPr="008D324C" w:rsidRDefault="008D324C" w:rsidP="000C0402">
      <w:pPr>
        <w:spacing w:line="240" w:lineRule="auto"/>
        <w:jc w:val="both"/>
      </w:pPr>
      <w:r>
        <w:t xml:space="preserve">KT 1.2: </w:t>
      </w:r>
      <w:r w:rsidRPr="008D324C">
        <w:rPr>
          <w:rFonts w:cs="Arial"/>
        </w:rPr>
        <w:t xml:space="preserve">Data Access: DACs demonstrate direct access to data and INSPIRE compliant view and download and agree timetable for further publishing. </w:t>
      </w:r>
    </w:p>
    <w:p w14:paraId="05B682BB" w14:textId="1829A68B" w:rsidR="008D324C" w:rsidRPr="008D324C" w:rsidRDefault="008D324C" w:rsidP="000C0402">
      <w:pPr>
        <w:spacing w:line="240" w:lineRule="auto"/>
        <w:jc w:val="both"/>
      </w:pPr>
      <w:r>
        <w:t xml:space="preserve">KT 1.3: </w:t>
      </w:r>
      <w:r w:rsidRPr="008D324C">
        <w:rPr>
          <w:rFonts w:cs="Arial"/>
        </w:rPr>
        <w:t xml:space="preserve">Accreditation: </w:t>
      </w:r>
      <w:r>
        <w:rPr>
          <w:rFonts w:cs="Arial"/>
        </w:rPr>
        <w:t xml:space="preserve">Provide support </w:t>
      </w:r>
      <w:r w:rsidRPr="008D324C">
        <w:rPr>
          <w:rFonts w:cs="Arial"/>
        </w:rPr>
        <w:t>t</w:t>
      </w:r>
      <w:r>
        <w:rPr>
          <w:rFonts w:cs="Arial"/>
        </w:rPr>
        <w:t>o at</w:t>
      </w:r>
      <w:r w:rsidRPr="008D324C">
        <w:rPr>
          <w:rFonts w:cs="Arial"/>
        </w:rPr>
        <w:t xml:space="preserve"> least one further D</w:t>
      </w:r>
      <w:r>
        <w:rPr>
          <w:rFonts w:cs="Arial"/>
        </w:rPr>
        <w:t xml:space="preserve">AC to join the network (e.g. </w:t>
      </w:r>
      <w:r w:rsidRPr="008D324C">
        <w:rPr>
          <w:rFonts w:cs="Arial"/>
        </w:rPr>
        <w:t xml:space="preserve"> Northern Irish component of Heritage DAC</w:t>
      </w:r>
      <w:r>
        <w:rPr>
          <w:rFonts w:cs="Arial"/>
        </w:rPr>
        <w:t>, JNCC as a Bird DAC</w:t>
      </w:r>
      <w:r w:rsidRPr="008D324C">
        <w:rPr>
          <w:rFonts w:cs="Arial"/>
        </w:rPr>
        <w:t xml:space="preserve">). </w:t>
      </w:r>
    </w:p>
    <w:p w14:paraId="760A8104" w14:textId="10E6E9E8" w:rsidR="008D324C" w:rsidRDefault="008D324C" w:rsidP="000C0402">
      <w:pPr>
        <w:spacing w:line="240" w:lineRule="auto"/>
        <w:jc w:val="both"/>
      </w:pPr>
      <w:r>
        <w:t>KT 1.4 (new): Metadata quality: Achieve 100% for validation of metadata records in the MEDIN portal.</w:t>
      </w:r>
    </w:p>
    <w:p w14:paraId="5732B9E2" w14:textId="3B4AD28C" w:rsidR="00481E42" w:rsidRDefault="00481E42" w:rsidP="000C0402">
      <w:pPr>
        <w:spacing w:line="240" w:lineRule="auto"/>
        <w:jc w:val="both"/>
      </w:pPr>
      <w:r>
        <w:rPr>
          <w:u w:val="single"/>
        </w:rPr>
        <w:t xml:space="preserve">5(b) </w:t>
      </w:r>
      <w:r w:rsidRPr="00481E42">
        <w:rPr>
          <w:u w:val="single"/>
        </w:rPr>
        <w:t>Next MEDIN Business Plan:</w:t>
      </w:r>
      <w:r>
        <w:t xml:space="preserve"> For the next business plan, DACs are to input into requirements on interoperability, thoughts on new technology and where MEDIN should be going. This information will be taken to the </w:t>
      </w:r>
      <w:r w:rsidR="00BD145D">
        <w:t xml:space="preserve">MEDIN </w:t>
      </w:r>
      <w:r>
        <w:t>Partners’ meeting</w:t>
      </w:r>
      <w:r w:rsidR="00BD145D">
        <w:t>, planned for</w:t>
      </w:r>
      <w:r>
        <w:t xml:space="preserve"> April</w:t>
      </w:r>
      <w:r w:rsidR="00BD145D">
        <w:t xml:space="preserve"> 2018</w:t>
      </w:r>
      <w:r>
        <w:t xml:space="preserve">. </w:t>
      </w:r>
    </w:p>
    <w:p w14:paraId="2100011F" w14:textId="4AFCC377" w:rsidR="00481E42" w:rsidRPr="00481E42" w:rsidRDefault="00481E42" w:rsidP="000C0402">
      <w:pPr>
        <w:spacing w:line="240" w:lineRule="auto"/>
        <w:jc w:val="both"/>
        <w:rPr>
          <w:b/>
          <w:i/>
        </w:rPr>
      </w:pPr>
      <w:r w:rsidRPr="00481E42">
        <w:rPr>
          <w:b/>
          <w:i/>
        </w:rPr>
        <w:t>Action</w:t>
      </w:r>
      <w:r w:rsidR="00BD145D">
        <w:rPr>
          <w:b/>
          <w:i/>
        </w:rPr>
        <w:t xml:space="preserve"> 7.6</w:t>
      </w:r>
      <w:r w:rsidRPr="00481E42">
        <w:rPr>
          <w:b/>
          <w:i/>
        </w:rPr>
        <w:t>: J</w:t>
      </w:r>
      <w:r w:rsidR="00BD145D">
        <w:rPr>
          <w:b/>
          <w:i/>
        </w:rPr>
        <w:t xml:space="preserve">ens </w:t>
      </w:r>
      <w:r w:rsidRPr="00481E42">
        <w:rPr>
          <w:b/>
          <w:i/>
        </w:rPr>
        <w:t>R</w:t>
      </w:r>
      <w:r w:rsidR="00BD145D">
        <w:rPr>
          <w:b/>
          <w:i/>
        </w:rPr>
        <w:t>asmussen</w:t>
      </w:r>
      <w:r w:rsidRPr="00481E42">
        <w:rPr>
          <w:b/>
          <w:i/>
        </w:rPr>
        <w:t xml:space="preserve"> to </w:t>
      </w:r>
      <w:r w:rsidR="00115929">
        <w:rPr>
          <w:b/>
          <w:i/>
        </w:rPr>
        <w:t>form a small, technical</w:t>
      </w:r>
      <w:r w:rsidRPr="00481E42">
        <w:rPr>
          <w:b/>
          <w:i/>
        </w:rPr>
        <w:t xml:space="preserve"> focus group to explore increasing volumes and complexity, support for machine-t</w:t>
      </w:r>
      <w:r w:rsidR="00115929">
        <w:rPr>
          <w:b/>
          <w:i/>
        </w:rPr>
        <w:t>o</w:t>
      </w:r>
      <w:r w:rsidRPr="00481E42">
        <w:rPr>
          <w:b/>
          <w:i/>
        </w:rPr>
        <w:t>-machine access, unstructured data, semantic linking and feedback to DAC WG</w:t>
      </w:r>
      <w:r w:rsidR="00AF3E12">
        <w:rPr>
          <w:b/>
          <w:i/>
        </w:rPr>
        <w:t xml:space="preserve"> at </w:t>
      </w:r>
      <w:r w:rsidR="00D33E19">
        <w:rPr>
          <w:b/>
          <w:i/>
        </w:rPr>
        <w:t xml:space="preserve">its </w:t>
      </w:r>
      <w:r w:rsidR="00AF3E12">
        <w:rPr>
          <w:b/>
          <w:i/>
        </w:rPr>
        <w:t>next meeting</w:t>
      </w:r>
      <w:r w:rsidRPr="00481E42">
        <w:rPr>
          <w:b/>
          <w:i/>
        </w:rPr>
        <w:t>.</w:t>
      </w:r>
    </w:p>
    <w:p w14:paraId="7CF7F1E0" w14:textId="27528DE8" w:rsidR="00E673A7" w:rsidRPr="0074544E" w:rsidRDefault="00E673A7" w:rsidP="000C0402">
      <w:pPr>
        <w:spacing w:line="240" w:lineRule="auto"/>
        <w:jc w:val="both"/>
        <w:rPr>
          <w:highlight w:val="yellow"/>
        </w:rPr>
      </w:pPr>
    </w:p>
    <w:p w14:paraId="13EFA17C" w14:textId="77DBD4F9" w:rsidR="0045182D" w:rsidRPr="009955BF" w:rsidRDefault="0045182D" w:rsidP="000C0402">
      <w:pPr>
        <w:spacing w:line="240" w:lineRule="auto"/>
        <w:jc w:val="both"/>
        <w:rPr>
          <w:b/>
        </w:rPr>
      </w:pPr>
      <w:r w:rsidRPr="009955BF">
        <w:rPr>
          <w:b/>
        </w:rPr>
        <w:t>6. Promoting th</w:t>
      </w:r>
      <w:r w:rsidR="009955BF" w:rsidRPr="009955BF">
        <w:rPr>
          <w:b/>
        </w:rPr>
        <w:t>e DAC Network</w:t>
      </w:r>
    </w:p>
    <w:p w14:paraId="2EE43544" w14:textId="176BEDDD" w:rsidR="0040461E" w:rsidRDefault="009955BF" w:rsidP="000C0402">
      <w:pPr>
        <w:spacing w:line="240" w:lineRule="auto"/>
        <w:jc w:val="both"/>
      </w:pPr>
      <w:r w:rsidRPr="009955BF">
        <w:t>Charlotte Miskin-Hymas</w:t>
      </w:r>
      <w:r>
        <w:t xml:space="preserve"> (new MEDIN communications lead) is currently working on the refresh of the MEDIN website. LR presented (and subsequently circulated) some slides to show what Charlotte is proposing, and asked DACs to provide comments and feedback.</w:t>
      </w:r>
    </w:p>
    <w:p w14:paraId="1A509D3D" w14:textId="2FDAD9BD" w:rsidR="009955BF" w:rsidRPr="009955BF" w:rsidRDefault="009955BF" w:rsidP="000C0402">
      <w:pPr>
        <w:spacing w:line="240" w:lineRule="auto"/>
        <w:jc w:val="both"/>
        <w:rPr>
          <w:b/>
          <w:i/>
        </w:rPr>
      </w:pPr>
      <w:r w:rsidRPr="009955BF">
        <w:rPr>
          <w:b/>
          <w:i/>
        </w:rPr>
        <w:t>Action</w:t>
      </w:r>
      <w:r w:rsidR="00BD145D">
        <w:rPr>
          <w:b/>
          <w:i/>
        </w:rPr>
        <w:t xml:space="preserve"> 7.7</w:t>
      </w:r>
      <w:r w:rsidRPr="009955BF">
        <w:rPr>
          <w:b/>
          <w:i/>
        </w:rPr>
        <w:t>: DACs to provide comment and feedback on proposed changes to MEDIN web pages</w:t>
      </w:r>
      <w:r w:rsidR="00AF3E12">
        <w:rPr>
          <w:b/>
          <w:i/>
        </w:rPr>
        <w:t xml:space="preserve"> by end November 2017</w:t>
      </w:r>
      <w:r w:rsidRPr="009955BF">
        <w:rPr>
          <w:b/>
          <w:i/>
        </w:rPr>
        <w:t>.</w:t>
      </w:r>
    </w:p>
    <w:p w14:paraId="78C65D23" w14:textId="77777777" w:rsidR="00BD145D" w:rsidRDefault="00BD145D" w:rsidP="000C0402">
      <w:pPr>
        <w:spacing w:line="240" w:lineRule="auto"/>
        <w:jc w:val="both"/>
        <w:rPr>
          <w:b/>
        </w:rPr>
      </w:pPr>
    </w:p>
    <w:p w14:paraId="03DC3CEF" w14:textId="515303D2" w:rsidR="0063491C" w:rsidRPr="00115929" w:rsidRDefault="0063491C" w:rsidP="000C0402">
      <w:pPr>
        <w:spacing w:line="240" w:lineRule="auto"/>
        <w:jc w:val="both"/>
        <w:rPr>
          <w:b/>
        </w:rPr>
      </w:pPr>
      <w:r w:rsidRPr="00115929">
        <w:rPr>
          <w:b/>
        </w:rPr>
        <w:t>7. Coordinated data archiving</w:t>
      </w:r>
    </w:p>
    <w:p w14:paraId="45944098" w14:textId="48DA9BDA" w:rsidR="00D54BD0" w:rsidRPr="00115929" w:rsidRDefault="00115929" w:rsidP="000C0402">
      <w:pPr>
        <w:spacing w:line="240" w:lineRule="auto"/>
        <w:jc w:val="both"/>
        <w:rPr>
          <w:u w:val="single"/>
        </w:rPr>
      </w:pPr>
      <w:r w:rsidRPr="00115929">
        <w:rPr>
          <w:u w:val="single"/>
        </w:rPr>
        <w:t>7(a)</w:t>
      </w:r>
      <w:r w:rsidR="00D54BD0" w:rsidRPr="00115929">
        <w:rPr>
          <w:u w:val="single"/>
        </w:rPr>
        <w:t xml:space="preserve"> Pilot of coordinated approach to multidisciplinary data </w:t>
      </w:r>
    </w:p>
    <w:p w14:paraId="637EEE3E" w14:textId="4F6B582F" w:rsidR="0062356A" w:rsidRPr="00115929" w:rsidRDefault="0062356A" w:rsidP="000C0402">
      <w:pPr>
        <w:spacing w:line="240" w:lineRule="auto"/>
        <w:jc w:val="both"/>
      </w:pPr>
      <w:r w:rsidRPr="00115929">
        <w:t xml:space="preserve">The MEDIN Helpdesk has not had any </w:t>
      </w:r>
      <w:r w:rsidR="00115929">
        <w:t xml:space="preserve">multidisciplinary </w:t>
      </w:r>
      <w:r w:rsidRPr="00115929">
        <w:t xml:space="preserve">submissions to report on. </w:t>
      </w:r>
      <w:r w:rsidR="00115929" w:rsidRPr="00115929">
        <w:t xml:space="preserve">The guidance has been </w:t>
      </w:r>
      <w:r w:rsidRPr="00115929">
        <w:t>advertised</w:t>
      </w:r>
      <w:r w:rsidR="00115929" w:rsidRPr="00115929">
        <w:t xml:space="preserve"> in MDN.</w:t>
      </w:r>
      <w:r w:rsidR="0040461E" w:rsidRPr="00115929">
        <w:t xml:space="preserve"> </w:t>
      </w:r>
    </w:p>
    <w:p w14:paraId="26352169" w14:textId="1DF90E2F" w:rsidR="00D05729" w:rsidRPr="00115929" w:rsidRDefault="00115929" w:rsidP="000C0402">
      <w:pPr>
        <w:spacing w:line="240" w:lineRule="auto"/>
        <w:jc w:val="both"/>
        <w:rPr>
          <w:u w:val="single"/>
        </w:rPr>
      </w:pPr>
      <w:r w:rsidRPr="00115929">
        <w:rPr>
          <w:u w:val="single"/>
        </w:rPr>
        <w:t>7(b)</w:t>
      </w:r>
      <w:r w:rsidR="00D05729" w:rsidRPr="00115929">
        <w:rPr>
          <w:u w:val="single"/>
        </w:rPr>
        <w:t xml:space="preserve"> The Crown Estate Small Works Consents data</w:t>
      </w:r>
    </w:p>
    <w:p w14:paraId="5F4F7C94" w14:textId="17C3120E" w:rsidR="002939F6" w:rsidRPr="00540B9A" w:rsidRDefault="002939F6" w:rsidP="000C0402">
      <w:pPr>
        <w:spacing w:line="240" w:lineRule="auto"/>
        <w:jc w:val="both"/>
        <w:rPr>
          <w:highlight w:val="yellow"/>
        </w:rPr>
      </w:pPr>
      <w:r w:rsidRPr="00115929">
        <w:t xml:space="preserve">TCE is </w:t>
      </w:r>
      <w:r w:rsidR="00206A51">
        <w:t xml:space="preserve">now charging for </w:t>
      </w:r>
      <w:r w:rsidR="00AF3E12">
        <w:t>Small Works Consent</w:t>
      </w:r>
      <w:r w:rsidRPr="00115929">
        <w:t xml:space="preserve"> licence</w:t>
      </w:r>
      <w:r w:rsidR="005803C9">
        <w:t>s</w:t>
      </w:r>
      <w:r w:rsidRPr="00115929">
        <w:t xml:space="preserve">. </w:t>
      </w:r>
      <w:r w:rsidR="00206A51" w:rsidRPr="00115929">
        <w:t xml:space="preserve">There is a clause in the licence to say that </w:t>
      </w:r>
      <w:r w:rsidR="00206A51">
        <w:t>data should be made available to MDE in a MEDIN compliant form. The</w:t>
      </w:r>
      <w:r w:rsidR="007A464A">
        <w:t xml:space="preserve"> data from </w:t>
      </w:r>
      <w:r w:rsidR="00AF3E12">
        <w:t xml:space="preserve">Small Works </w:t>
      </w:r>
      <w:r w:rsidR="007A464A">
        <w:t xml:space="preserve">surveys will be classed as </w:t>
      </w:r>
      <w:r w:rsidR="00AF3E12">
        <w:t xml:space="preserve">either </w:t>
      </w:r>
      <w:r w:rsidR="007A464A">
        <w:t xml:space="preserve">open </w:t>
      </w:r>
      <w:r w:rsidR="00AF3E12">
        <w:t xml:space="preserve">or </w:t>
      </w:r>
      <w:r w:rsidR="007A464A">
        <w:t xml:space="preserve">non-open on MDE and exposed to the MEDIN portal. </w:t>
      </w:r>
    </w:p>
    <w:p w14:paraId="3499536D" w14:textId="62F1275E" w:rsidR="002939F6" w:rsidRPr="00115929" w:rsidRDefault="00115929" w:rsidP="000C0402">
      <w:pPr>
        <w:spacing w:line="240" w:lineRule="auto"/>
        <w:jc w:val="both"/>
      </w:pPr>
      <w:r w:rsidRPr="007A464A">
        <w:t>For data that TCE is not interested in</w:t>
      </w:r>
      <w:r w:rsidR="005803C9">
        <w:t xml:space="preserve"> holding</w:t>
      </w:r>
      <w:r w:rsidRPr="007A464A">
        <w:t>, they will share this with the DACs to see if they are interested in holding it. CB will feedback progress on this to the DACs at the next WG meeting.</w:t>
      </w:r>
    </w:p>
    <w:p w14:paraId="5DCFF346" w14:textId="31986EC4" w:rsidR="002939F6" w:rsidRPr="009A436B" w:rsidRDefault="009A436B" w:rsidP="000C0402">
      <w:pPr>
        <w:spacing w:line="240" w:lineRule="auto"/>
        <w:jc w:val="both"/>
        <w:rPr>
          <w:u w:val="single"/>
        </w:rPr>
      </w:pPr>
      <w:r w:rsidRPr="009A436B">
        <w:rPr>
          <w:u w:val="single"/>
        </w:rPr>
        <w:t>7(c)</w:t>
      </w:r>
      <w:r w:rsidR="002939F6" w:rsidRPr="009A436B">
        <w:rPr>
          <w:u w:val="single"/>
        </w:rPr>
        <w:t xml:space="preserve"> </w:t>
      </w:r>
      <w:r w:rsidRPr="009A436B">
        <w:rPr>
          <w:u w:val="single"/>
        </w:rPr>
        <w:t xml:space="preserve">Pulling together </w:t>
      </w:r>
      <w:r w:rsidR="00AF3E12">
        <w:rPr>
          <w:u w:val="single"/>
        </w:rPr>
        <w:t xml:space="preserve">ornithology data on </w:t>
      </w:r>
      <w:r w:rsidRPr="009A436B">
        <w:rPr>
          <w:u w:val="single"/>
        </w:rPr>
        <w:t>MDE into one data set</w:t>
      </w:r>
    </w:p>
    <w:p w14:paraId="26A4F89A" w14:textId="5CD8F8DA" w:rsidR="00795B36" w:rsidRDefault="009A436B" w:rsidP="000C0402">
      <w:pPr>
        <w:spacing w:line="240" w:lineRule="auto"/>
        <w:jc w:val="both"/>
      </w:pPr>
      <w:r>
        <w:t>C</w:t>
      </w:r>
      <w:r w:rsidR="00EC7EAE">
        <w:t xml:space="preserve">helsea </w:t>
      </w:r>
      <w:r>
        <w:t>B</w:t>
      </w:r>
      <w:r w:rsidR="00EC7EAE">
        <w:t>radbury</w:t>
      </w:r>
      <w:r>
        <w:t xml:space="preserve"> presented an example of </w:t>
      </w:r>
      <w:r w:rsidR="005803C9">
        <w:t>recent</w:t>
      </w:r>
      <w:r>
        <w:t xml:space="preserve"> work done by an intern to pull together bird data from different wind farm data sets</w:t>
      </w:r>
      <w:r w:rsidR="005803C9">
        <w:t xml:space="preserve"> on MDE</w:t>
      </w:r>
      <w:r>
        <w:t xml:space="preserve">, </w:t>
      </w:r>
      <w:r w:rsidR="005803C9">
        <w:t>to form a bird dataset</w:t>
      </w:r>
      <w:r w:rsidR="00795B36">
        <w:t>. The work showed that there are useful end products that can be made from diverse data on MDE. The bird data could be made available to a future MEDIN bird DAC.</w:t>
      </w:r>
    </w:p>
    <w:p w14:paraId="4DD7466D" w14:textId="77777777" w:rsidR="00BD145D" w:rsidRDefault="00BD145D" w:rsidP="000C0402">
      <w:pPr>
        <w:spacing w:line="240" w:lineRule="auto"/>
        <w:jc w:val="both"/>
        <w:rPr>
          <w:b/>
        </w:rPr>
      </w:pPr>
    </w:p>
    <w:p w14:paraId="2C366F5C" w14:textId="6CEFFD5A" w:rsidR="002939F6" w:rsidRPr="00795B36" w:rsidRDefault="002939F6" w:rsidP="000C0402">
      <w:pPr>
        <w:spacing w:line="240" w:lineRule="auto"/>
        <w:jc w:val="both"/>
        <w:rPr>
          <w:b/>
        </w:rPr>
      </w:pPr>
      <w:r w:rsidRPr="00795B36">
        <w:rPr>
          <w:b/>
        </w:rPr>
        <w:t xml:space="preserve">8. </w:t>
      </w:r>
      <w:r w:rsidR="0040461E" w:rsidRPr="00795B36">
        <w:rPr>
          <w:b/>
        </w:rPr>
        <w:t>DAC Data Access Services</w:t>
      </w:r>
    </w:p>
    <w:p w14:paraId="3F5AE793" w14:textId="00E30F26" w:rsidR="002939F6" w:rsidRPr="00795B36" w:rsidRDefault="00795B36" w:rsidP="000C0402">
      <w:pPr>
        <w:spacing w:line="240" w:lineRule="auto"/>
        <w:jc w:val="both"/>
        <w:rPr>
          <w:u w:val="single"/>
        </w:rPr>
      </w:pPr>
      <w:r w:rsidRPr="00795B36">
        <w:rPr>
          <w:u w:val="single"/>
        </w:rPr>
        <w:t>8(a) Metadata validation requirements</w:t>
      </w:r>
    </w:p>
    <w:p w14:paraId="2E1316E1" w14:textId="46A06E9F" w:rsidR="00795B36" w:rsidRDefault="00C10863" w:rsidP="000C0402">
      <w:pPr>
        <w:spacing w:line="240" w:lineRule="auto"/>
        <w:jc w:val="both"/>
      </w:pPr>
      <w:r>
        <w:t>Peter Thijsse (MARIS) gave a presentation on the</w:t>
      </w:r>
      <w:r w:rsidR="00D33E19">
        <w:t xml:space="preserve"> </w:t>
      </w:r>
      <w:r w:rsidR="00AF3E12">
        <w:t>MEDIN</w:t>
      </w:r>
      <w:r>
        <w:t xml:space="preserve"> portal redevelopment and outlined the issue of additional validation of the MEDIN metadata before it </w:t>
      </w:r>
      <w:r w:rsidR="00AF3E12">
        <w:t>gets published on the new portal</w:t>
      </w:r>
      <w:r>
        <w:t>. Currently, none of the MEDIN records are passing the</w:t>
      </w:r>
      <w:r w:rsidR="00AF3E12">
        <w:t xml:space="preserve">se additional </w:t>
      </w:r>
      <w:r>
        <w:t>validation checks.</w:t>
      </w:r>
      <w:r w:rsidR="00AF3E12">
        <w:t xml:space="preserve"> The group agreed the new interface and tools are a significant improvement</w:t>
      </w:r>
      <w:r w:rsidR="00FD3320">
        <w:t>.</w:t>
      </w:r>
    </w:p>
    <w:p w14:paraId="3B17D6F5" w14:textId="38683701" w:rsidR="00C10863" w:rsidRDefault="00C10863" w:rsidP="000C0402">
      <w:pPr>
        <w:spacing w:line="240" w:lineRule="auto"/>
        <w:jc w:val="both"/>
      </w:pPr>
      <w:r>
        <w:t>The new portal has a tool to help the DACs analyse the errors in the metadata.</w:t>
      </w:r>
    </w:p>
    <w:p w14:paraId="1112F01E" w14:textId="76BA3F73" w:rsidR="00C10863" w:rsidRDefault="00C10863" w:rsidP="000C0402">
      <w:pPr>
        <w:pStyle w:val="ListParagraph"/>
        <w:numPr>
          <w:ilvl w:val="0"/>
          <w:numId w:val="29"/>
        </w:numPr>
        <w:spacing w:line="240" w:lineRule="auto"/>
        <w:jc w:val="both"/>
      </w:pPr>
      <w:r>
        <w:t xml:space="preserve">Each DAC </w:t>
      </w:r>
      <w:r w:rsidR="00AF3E12">
        <w:t xml:space="preserve">(and similar data provider e.g. NRW) </w:t>
      </w:r>
      <w:r>
        <w:t>will have a user login to access the validation tool</w:t>
      </w:r>
      <w:r w:rsidR="00BD145D">
        <w:t>.</w:t>
      </w:r>
    </w:p>
    <w:p w14:paraId="03BADD82" w14:textId="7468BD82" w:rsidR="00C10863" w:rsidRDefault="00C10863" w:rsidP="000C0402">
      <w:pPr>
        <w:pStyle w:val="ListParagraph"/>
        <w:numPr>
          <w:ilvl w:val="0"/>
          <w:numId w:val="29"/>
        </w:numPr>
        <w:spacing w:line="240" w:lineRule="auto"/>
        <w:jc w:val="both"/>
      </w:pPr>
      <w:r>
        <w:t>For DACs with multiple nodes (</w:t>
      </w:r>
      <w:r w:rsidR="00594E7E">
        <w:t>e.g.</w:t>
      </w:r>
      <w:r>
        <w:t xml:space="preserve"> FishDAC), each node will have its own log in.</w:t>
      </w:r>
    </w:p>
    <w:p w14:paraId="26840733" w14:textId="063AB82A" w:rsidR="00C10863" w:rsidRDefault="00C10863" w:rsidP="000C0402">
      <w:pPr>
        <w:pStyle w:val="ListParagraph"/>
        <w:numPr>
          <w:ilvl w:val="0"/>
          <w:numId w:val="29"/>
        </w:numPr>
        <w:spacing w:line="240" w:lineRule="auto"/>
        <w:jc w:val="both"/>
      </w:pPr>
      <w:r>
        <w:t>The catalogue is refreshed daily, but this can be adjusted to happen more immediately if DACs are carrying out corrections and need to revalidate.</w:t>
      </w:r>
    </w:p>
    <w:p w14:paraId="15B7D217" w14:textId="1224CDE8" w:rsidR="00C10863" w:rsidRDefault="00C10863" w:rsidP="000C0402">
      <w:pPr>
        <w:pStyle w:val="ListParagraph"/>
        <w:numPr>
          <w:ilvl w:val="0"/>
          <w:numId w:val="29"/>
        </w:numPr>
        <w:spacing w:line="240" w:lineRule="auto"/>
        <w:jc w:val="both"/>
      </w:pPr>
      <w:r>
        <w:t>Each DAC needs to assess the scale of the issue</w:t>
      </w:r>
      <w:r w:rsidR="005803C9">
        <w:t>s</w:t>
      </w:r>
      <w:r>
        <w:t xml:space="preserve"> in their metadata.</w:t>
      </w:r>
    </w:p>
    <w:p w14:paraId="0F95DC30" w14:textId="77439C3F" w:rsidR="00C10863" w:rsidRDefault="00C10863" w:rsidP="000C0402">
      <w:pPr>
        <w:pStyle w:val="ListParagraph"/>
        <w:numPr>
          <w:ilvl w:val="0"/>
          <w:numId w:val="29"/>
        </w:numPr>
        <w:spacing w:line="240" w:lineRule="auto"/>
        <w:jc w:val="both"/>
      </w:pPr>
      <w:r>
        <w:t>The validation requirements will be relaxed for up to a year to allow DACs time to address their records.</w:t>
      </w:r>
    </w:p>
    <w:p w14:paraId="7459717D" w14:textId="43C44413" w:rsidR="00C10863" w:rsidRDefault="00C10863" w:rsidP="000C0402">
      <w:pPr>
        <w:pStyle w:val="ListParagraph"/>
        <w:numPr>
          <w:ilvl w:val="0"/>
          <w:numId w:val="29"/>
        </w:numPr>
        <w:spacing w:line="240" w:lineRule="auto"/>
        <w:jc w:val="both"/>
      </w:pPr>
      <w:r>
        <w:t>By next DAC WG meeting, the top 3-5 issues will have been addressed, as a minimum.</w:t>
      </w:r>
    </w:p>
    <w:p w14:paraId="0511A0C9" w14:textId="77777777" w:rsidR="00AF3E12" w:rsidRDefault="00C10863" w:rsidP="000C0402">
      <w:pPr>
        <w:pStyle w:val="ListParagraph"/>
        <w:numPr>
          <w:ilvl w:val="0"/>
          <w:numId w:val="29"/>
        </w:numPr>
        <w:spacing w:line="240" w:lineRule="auto"/>
        <w:jc w:val="both"/>
      </w:pPr>
      <w:r>
        <w:t>The MEDIN Maestro tool should be compared with the MARIS validation tool</w:t>
      </w:r>
      <w:r w:rsidR="00AF3E12">
        <w:t>.</w:t>
      </w:r>
    </w:p>
    <w:p w14:paraId="7C7EEB74" w14:textId="6AAC6643" w:rsidR="00C10863" w:rsidRPr="00E926F2" w:rsidRDefault="00594E7E" w:rsidP="000C0402">
      <w:pPr>
        <w:spacing w:line="240" w:lineRule="auto"/>
        <w:jc w:val="both"/>
        <w:rPr>
          <w:b/>
          <w:i/>
        </w:rPr>
      </w:pPr>
      <w:r w:rsidRPr="00E926F2">
        <w:rPr>
          <w:b/>
          <w:i/>
        </w:rPr>
        <w:t>Action</w:t>
      </w:r>
      <w:r w:rsidR="005803C9" w:rsidRPr="00E926F2">
        <w:rPr>
          <w:b/>
          <w:i/>
        </w:rPr>
        <w:t xml:space="preserve"> 7.8</w:t>
      </w:r>
      <w:r w:rsidRPr="00E926F2">
        <w:rPr>
          <w:b/>
          <w:i/>
        </w:rPr>
        <w:t>: Peter Thijsse to provide a validation tool log in for each organisation</w:t>
      </w:r>
    </w:p>
    <w:p w14:paraId="5CE2FBAF" w14:textId="1051FEC9" w:rsidR="0027627D" w:rsidRDefault="0027627D" w:rsidP="000C0402">
      <w:pPr>
        <w:spacing w:line="240" w:lineRule="auto"/>
        <w:jc w:val="both"/>
        <w:rPr>
          <w:b/>
          <w:i/>
        </w:rPr>
      </w:pPr>
      <w:r>
        <w:rPr>
          <w:b/>
          <w:i/>
        </w:rPr>
        <w:t>Action</w:t>
      </w:r>
      <w:r w:rsidR="005803C9">
        <w:rPr>
          <w:b/>
          <w:i/>
        </w:rPr>
        <w:t xml:space="preserve"> 7.9</w:t>
      </w:r>
      <w:r>
        <w:rPr>
          <w:b/>
          <w:i/>
        </w:rPr>
        <w:t>: L</w:t>
      </w:r>
      <w:r w:rsidR="005803C9">
        <w:rPr>
          <w:b/>
          <w:i/>
        </w:rPr>
        <w:t xml:space="preserve">ouisa </w:t>
      </w:r>
      <w:r>
        <w:rPr>
          <w:b/>
          <w:i/>
        </w:rPr>
        <w:t>M</w:t>
      </w:r>
      <w:r w:rsidR="005803C9">
        <w:rPr>
          <w:b/>
          <w:i/>
        </w:rPr>
        <w:t>atthews to discuss OA</w:t>
      </w:r>
      <w:r>
        <w:rPr>
          <w:b/>
          <w:i/>
        </w:rPr>
        <w:t>SIS metadata validation issue with G</w:t>
      </w:r>
      <w:r w:rsidR="00EC7EAE">
        <w:rPr>
          <w:b/>
          <w:i/>
        </w:rPr>
        <w:t xml:space="preserve">aynor </w:t>
      </w:r>
      <w:r>
        <w:rPr>
          <w:b/>
          <w:i/>
        </w:rPr>
        <w:t>E</w:t>
      </w:r>
      <w:r w:rsidR="00EC7EAE">
        <w:rPr>
          <w:b/>
          <w:i/>
        </w:rPr>
        <w:t>vans</w:t>
      </w:r>
      <w:r>
        <w:rPr>
          <w:b/>
          <w:i/>
        </w:rPr>
        <w:t xml:space="preserve"> and P</w:t>
      </w:r>
      <w:r w:rsidR="00EC7EAE">
        <w:rPr>
          <w:b/>
          <w:i/>
        </w:rPr>
        <w:t xml:space="preserve">eter </w:t>
      </w:r>
      <w:r>
        <w:rPr>
          <w:b/>
          <w:i/>
        </w:rPr>
        <w:t>T</w:t>
      </w:r>
      <w:r w:rsidR="00EC7EAE">
        <w:rPr>
          <w:b/>
          <w:i/>
        </w:rPr>
        <w:t>hijsse</w:t>
      </w:r>
    </w:p>
    <w:p w14:paraId="34A82E9A" w14:textId="6F55A56F" w:rsidR="00AF3E12" w:rsidRDefault="00AF3E12" w:rsidP="000C0402">
      <w:pPr>
        <w:spacing w:line="240" w:lineRule="auto"/>
        <w:jc w:val="both"/>
        <w:rPr>
          <w:b/>
          <w:i/>
        </w:rPr>
      </w:pPr>
      <w:r>
        <w:rPr>
          <w:b/>
          <w:i/>
        </w:rPr>
        <w:t>Action 7.10: Robin McCandliss to arrange a DAC WG teleconference in early 2018 for DACs to report progress in fixing metadata validation issues.</w:t>
      </w:r>
    </w:p>
    <w:p w14:paraId="43B891BA" w14:textId="70B1B868" w:rsidR="00AF3E12" w:rsidRPr="00594E7E" w:rsidRDefault="00AF3E12" w:rsidP="000C0402">
      <w:pPr>
        <w:spacing w:line="240" w:lineRule="auto"/>
        <w:jc w:val="both"/>
        <w:rPr>
          <w:b/>
          <w:i/>
        </w:rPr>
      </w:pPr>
      <w:r>
        <w:rPr>
          <w:b/>
          <w:i/>
        </w:rPr>
        <w:t xml:space="preserve">Action 7.11: Jens Rasmussen to validate metadata records using </w:t>
      </w:r>
      <w:r w:rsidR="007C14BE">
        <w:rPr>
          <w:b/>
          <w:i/>
        </w:rPr>
        <w:t xml:space="preserve">both </w:t>
      </w:r>
      <w:r>
        <w:rPr>
          <w:b/>
          <w:i/>
        </w:rPr>
        <w:t xml:space="preserve">Metadata Maestro </w:t>
      </w:r>
      <w:r w:rsidR="007C14BE">
        <w:rPr>
          <w:b/>
          <w:i/>
        </w:rPr>
        <w:t>and MARIS tool and report back to DAC WG at teleconference in early 2018.</w:t>
      </w:r>
    </w:p>
    <w:p w14:paraId="3C16CC64" w14:textId="1326C0BD" w:rsidR="0027627D" w:rsidRPr="0027627D" w:rsidRDefault="0027627D" w:rsidP="000C0402">
      <w:pPr>
        <w:spacing w:line="240" w:lineRule="auto"/>
        <w:jc w:val="both"/>
        <w:rPr>
          <w:u w:val="single"/>
        </w:rPr>
      </w:pPr>
      <w:r>
        <w:rPr>
          <w:u w:val="single"/>
        </w:rPr>
        <w:t>8(b) Metadata quality check</w:t>
      </w:r>
    </w:p>
    <w:p w14:paraId="061DC78D" w14:textId="0BC4903D" w:rsidR="0027627D" w:rsidRDefault="001B1F82" w:rsidP="000C0402">
      <w:pPr>
        <w:spacing w:line="240" w:lineRule="auto"/>
        <w:jc w:val="both"/>
      </w:pPr>
      <w:r w:rsidRPr="00795B36">
        <w:t>A check of readability and understandability of MEDI</w:t>
      </w:r>
      <w:r w:rsidR="0040461E" w:rsidRPr="00795B36">
        <w:t>N</w:t>
      </w:r>
      <w:r w:rsidRPr="00795B36">
        <w:t xml:space="preserve"> metadata was carried out by the core team in March 2017. The overall results were presented at the </w:t>
      </w:r>
      <w:r w:rsidR="0027627D">
        <w:t xml:space="preserve">last DAC </w:t>
      </w:r>
      <w:r w:rsidRPr="00795B36">
        <w:t>meeting and each DAC receive</w:t>
      </w:r>
      <w:r w:rsidR="0027627D">
        <w:t>d</w:t>
      </w:r>
      <w:r w:rsidRPr="00795B36">
        <w:t xml:space="preserve"> an individual report. </w:t>
      </w:r>
    </w:p>
    <w:p w14:paraId="27E30D1F" w14:textId="5F76A672" w:rsidR="00A55DAC" w:rsidRDefault="00611551" w:rsidP="000C0402">
      <w:pPr>
        <w:spacing w:line="240" w:lineRule="auto"/>
        <w:jc w:val="both"/>
      </w:pPr>
      <w:r>
        <w:t>The DACs felt that it was a useful exercise</w:t>
      </w:r>
      <w:r w:rsidR="00A55DAC">
        <w:t xml:space="preserve"> and should be repeated</w:t>
      </w:r>
      <w:r>
        <w:t>.</w:t>
      </w:r>
      <w:r w:rsidR="00A55DAC">
        <w:t xml:space="preserve"> Issues raised included some DAC metadata is third party and </w:t>
      </w:r>
      <w:r w:rsidR="007C14BE">
        <w:t xml:space="preserve">can’t easily update the metadata </w:t>
      </w:r>
      <w:r w:rsidR="00A55DAC">
        <w:t>(e.g.</w:t>
      </w:r>
      <w:r w:rsidR="005803C9">
        <w:t xml:space="preserve"> DASSH, OA</w:t>
      </w:r>
      <w:r w:rsidR="00A55DAC">
        <w:t>SIS).</w:t>
      </w:r>
    </w:p>
    <w:p w14:paraId="06E33993" w14:textId="65DC4318" w:rsidR="00A55DAC" w:rsidRPr="00A55DAC" w:rsidRDefault="00A55DAC" w:rsidP="000C0402">
      <w:pPr>
        <w:spacing w:line="240" w:lineRule="auto"/>
        <w:jc w:val="both"/>
        <w:rPr>
          <w:b/>
          <w:i/>
        </w:rPr>
      </w:pPr>
      <w:r w:rsidRPr="00A55DAC">
        <w:rPr>
          <w:b/>
          <w:i/>
        </w:rPr>
        <w:t>Action</w:t>
      </w:r>
      <w:r w:rsidR="005803C9">
        <w:rPr>
          <w:b/>
          <w:i/>
        </w:rPr>
        <w:t xml:space="preserve"> 7.1</w:t>
      </w:r>
      <w:r w:rsidR="007C14BE">
        <w:rPr>
          <w:b/>
          <w:i/>
        </w:rPr>
        <w:t>2</w:t>
      </w:r>
      <w:r w:rsidRPr="00A55DAC">
        <w:rPr>
          <w:b/>
          <w:i/>
        </w:rPr>
        <w:t>: DACs to provide C</w:t>
      </w:r>
      <w:r w:rsidR="00EC7EAE">
        <w:rPr>
          <w:b/>
          <w:i/>
        </w:rPr>
        <w:t xml:space="preserve">lare </w:t>
      </w:r>
      <w:r w:rsidRPr="00A55DAC">
        <w:rPr>
          <w:b/>
          <w:i/>
        </w:rPr>
        <w:t>P</w:t>
      </w:r>
      <w:r w:rsidR="00EC7EAE">
        <w:rPr>
          <w:b/>
          <w:i/>
        </w:rPr>
        <w:t>ostlethwaite</w:t>
      </w:r>
      <w:r w:rsidRPr="00A55DAC">
        <w:rPr>
          <w:b/>
          <w:i/>
        </w:rPr>
        <w:t xml:space="preserve"> (by 29 Nov) with statement for Sponsors and Executive Boards on usefulness of metadata checks, and outline changes made and not made.</w:t>
      </w:r>
    </w:p>
    <w:p w14:paraId="5FDC1550" w14:textId="61ED508D" w:rsidR="00A55DAC" w:rsidRDefault="00A55DAC" w:rsidP="000C0402">
      <w:pPr>
        <w:jc w:val="both"/>
      </w:pPr>
      <w:r>
        <w:t xml:space="preserve">While there was a plan to repeat the exercise in Q4, it was agreed that effort should be put in to address getting records through the MARIS validation checker this year. </w:t>
      </w:r>
      <w:r w:rsidR="00E926F2">
        <w:t>It</w:t>
      </w:r>
      <w:r>
        <w:t xml:space="preserve"> was agreed that the core team </w:t>
      </w:r>
      <w:r w:rsidR="005803C9">
        <w:t xml:space="preserve">effort will be directed at ensuring </w:t>
      </w:r>
      <w:r>
        <w:t>DACs</w:t>
      </w:r>
      <w:r w:rsidR="005803C9">
        <w:t xml:space="preserve"> are using the validation tool and addressing major issues in the metadata.</w:t>
      </w:r>
    </w:p>
    <w:p w14:paraId="11676C14" w14:textId="05891464" w:rsidR="00B15F36" w:rsidRPr="00A55DAC" w:rsidRDefault="00A55DAC" w:rsidP="000C0402">
      <w:pPr>
        <w:spacing w:line="240" w:lineRule="auto"/>
        <w:jc w:val="both"/>
        <w:rPr>
          <w:u w:val="single"/>
        </w:rPr>
      </w:pPr>
      <w:r w:rsidRPr="00A55DAC">
        <w:rPr>
          <w:u w:val="single"/>
        </w:rPr>
        <w:t>8(c)</w:t>
      </w:r>
      <w:r w:rsidR="00B15F36" w:rsidRPr="00A55DAC">
        <w:rPr>
          <w:u w:val="single"/>
        </w:rPr>
        <w:t xml:space="preserve"> Licence for industry data</w:t>
      </w:r>
    </w:p>
    <w:p w14:paraId="50CF5640" w14:textId="6D28A5AF" w:rsidR="00661D6D" w:rsidRDefault="00661D6D" w:rsidP="000C0402">
      <w:pPr>
        <w:spacing w:line="240" w:lineRule="auto"/>
        <w:jc w:val="both"/>
      </w:pPr>
      <w:r w:rsidRPr="00661D6D">
        <w:t>L</w:t>
      </w:r>
      <w:r w:rsidR="005803C9">
        <w:t xml:space="preserve">ouisa </w:t>
      </w:r>
      <w:r w:rsidRPr="00661D6D">
        <w:t>M</w:t>
      </w:r>
      <w:r w:rsidR="005803C9">
        <w:t>atthews</w:t>
      </w:r>
      <w:r w:rsidRPr="00661D6D">
        <w:t xml:space="preserve"> carried out a survey across the DACs on what licences they use</w:t>
      </w:r>
      <w:r w:rsidR="007C14BE">
        <w:t>, particularly for industry data</w:t>
      </w:r>
      <w:r w:rsidRPr="00661D6D">
        <w:t xml:space="preserve">. </w:t>
      </w:r>
      <w:r w:rsidR="005803C9">
        <w:t>The majority of DACs use</w:t>
      </w:r>
      <w:r w:rsidRPr="00661D6D">
        <w:t xml:space="preserve"> O</w:t>
      </w:r>
      <w:r w:rsidR="00EC7EAE">
        <w:t xml:space="preserve">pen </w:t>
      </w:r>
      <w:r w:rsidRPr="00661D6D">
        <w:t>G</w:t>
      </w:r>
      <w:r w:rsidR="00EC7EAE">
        <w:t xml:space="preserve">overnment </w:t>
      </w:r>
      <w:r w:rsidRPr="00661D6D">
        <w:t>L</w:t>
      </w:r>
      <w:r w:rsidR="00EC7EAE">
        <w:t>icence (OGL)</w:t>
      </w:r>
      <w:r w:rsidRPr="00661D6D">
        <w:t xml:space="preserve"> for much of their data. For data generated by external parties held at DACs, there were bespoke licences in many cases.</w:t>
      </w:r>
    </w:p>
    <w:p w14:paraId="6978A4E0" w14:textId="7E63AEC3" w:rsidR="00D74831" w:rsidRDefault="00661D6D" w:rsidP="000C0402">
      <w:pPr>
        <w:spacing w:line="240" w:lineRule="auto"/>
        <w:jc w:val="both"/>
      </w:pPr>
      <w:r>
        <w:t xml:space="preserve">The type of licence used is affected by both the </w:t>
      </w:r>
      <w:r w:rsidR="005803C9">
        <w:t>origin of the data</w:t>
      </w:r>
      <w:r>
        <w:t xml:space="preserve"> and the type of reuse that is allowed.</w:t>
      </w:r>
      <w:r w:rsidR="005803C9">
        <w:t xml:space="preserve"> </w:t>
      </w:r>
      <w:r w:rsidR="00D74831">
        <w:t>There is no one-size-fits-all licence for the MEDIN DACs.</w:t>
      </w:r>
      <w:r w:rsidR="001C6C28">
        <w:t xml:space="preserve"> MEDIN recommends using an open licence (e.g. </w:t>
      </w:r>
      <w:r w:rsidR="007C14BE">
        <w:t xml:space="preserve">CC-by, </w:t>
      </w:r>
      <w:r w:rsidR="001C6C28">
        <w:t>OGL) wherever possible.</w:t>
      </w:r>
      <w:r w:rsidR="007C14BE">
        <w:t xml:space="preserve"> </w:t>
      </w:r>
    </w:p>
    <w:p w14:paraId="51345BC9" w14:textId="346115EA" w:rsidR="007C14BE" w:rsidRPr="00281DB6" w:rsidRDefault="007C14BE" w:rsidP="000C0402">
      <w:pPr>
        <w:spacing w:line="240" w:lineRule="auto"/>
        <w:jc w:val="both"/>
        <w:rPr>
          <w:b/>
          <w:i/>
        </w:rPr>
      </w:pPr>
      <w:r w:rsidRPr="00281DB6">
        <w:rPr>
          <w:b/>
          <w:i/>
        </w:rPr>
        <w:t xml:space="preserve">Action 7.13: </w:t>
      </w:r>
      <w:r>
        <w:rPr>
          <w:b/>
          <w:i/>
        </w:rPr>
        <w:t>Robin McCandliss and Charlotte Miskin-Hymas to identify where to include a statement on licenses on the MEDIN website.</w:t>
      </w:r>
    </w:p>
    <w:p w14:paraId="19333C30" w14:textId="331A17CA" w:rsidR="00B15F36" w:rsidRPr="00DF2BBB" w:rsidRDefault="00DF2BBB" w:rsidP="000C0402">
      <w:pPr>
        <w:spacing w:line="240" w:lineRule="auto"/>
        <w:jc w:val="both"/>
        <w:rPr>
          <w:u w:val="single"/>
        </w:rPr>
      </w:pPr>
      <w:r w:rsidRPr="00DF2BBB">
        <w:rPr>
          <w:u w:val="single"/>
        </w:rPr>
        <w:t>8(d)</w:t>
      </w:r>
      <w:r w:rsidR="00B15F36" w:rsidRPr="00DF2BBB">
        <w:rPr>
          <w:u w:val="single"/>
        </w:rPr>
        <w:t xml:space="preserve"> Codefest</w:t>
      </w:r>
    </w:p>
    <w:p w14:paraId="47F5C89B" w14:textId="7EF9535D" w:rsidR="00DF2BBB" w:rsidRDefault="00B15F36" w:rsidP="000C0402">
      <w:pPr>
        <w:spacing w:line="240" w:lineRule="auto"/>
        <w:jc w:val="both"/>
      </w:pPr>
      <w:r w:rsidRPr="00DF2BBB">
        <w:t>The</w:t>
      </w:r>
      <w:r w:rsidR="00DF2BBB" w:rsidRPr="00DF2BBB">
        <w:t xml:space="preserve"> MEDIN codefest planned for Q3 this year </w:t>
      </w:r>
      <w:r w:rsidR="006909B7">
        <w:t>will be rescheduled for next financial year</w:t>
      </w:r>
      <w:r w:rsidR="00DF2BBB" w:rsidRPr="00DF2BBB">
        <w:t xml:space="preserve"> due to time constraints. Instead, MEDIN funded </w:t>
      </w:r>
      <w:r w:rsidR="00E926F2" w:rsidRPr="00DF2BBB">
        <w:t>two</w:t>
      </w:r>
      <w:r w:rsidR="00DF2BBB" w:rsidRPr="00DF2BBB">
        <w:t xml:space="preserve"> representatives</w:t>
      </w:r>
      <w:r w:rsidR="00DF2BBB">
        <w:t xml:space="preserve"> (from BODC)</w:t>
      </w:r>
      <w:r w:rsidR="00DF2BBB" w:rsidRPr="00DF2BBB">
        <w:t xml:space="preserve"> to attend an EMODnet codefest</w:t>
      </w:r>
      <w:r w:rsidR="006909B7">
        <w:t xml:space="preserve"> in Q3</w:t>
      </w:r>
      <w:r w:rsidR="00DF2BBB" w:rsidRPr="00DF2BBB">
        <w:t>.</w:t>
      </w:r>
    </w:p>
    <w:p w14:paraId="25D796F8" w14:textId="02F62247" w:rsidR="00DF2BBB" w:rsidRDefault="00DF2BBB" w:rsidP="000C0402">
      <w:pPr>
        <w:spacing w:line="240" w:lineRule="auto"/>
        <w:jc w:val="both"/>
      </w:pPr>
      <w:r>
        <w:t>The DACs agreed that another MEDIN hack day, focusing on UKDMOS data, would be useful and should be included in the 2018/19 work plan.</w:t>
      </w:r>
    </w:p>
    <w:p w14:paraId="2DD9F8A9" w14:textId="77777777" w:rsidR="00DF2BBB" w:rsidRPr="00DF2BBB" w:rsidRDefault="00DF2BBB" w:rsidP="000C0402">
      <w:pPr>
        <w:spacing w:line="240" w:lineRule="auto"/>
        <w:jc w:val="both"/>
      </w:pPr>
    </w:p>
    <w:p w14:paraId="55C20C56" w14:textId="77777777" w:rsidR="00DD36FC" w:rsidRPr="00DF2BBB" w:rsidRDefault="00DD36FC" w:rsidP="000C0402">
      <w:pPr>
        <w:spacing w:line="240" w:lineRule="auto"/>
        <w:jc w:val="both"/>
        <w:rPr>
          <w:b/>
        </w:rPr>
      </w:pPr>
      <w:r w:rsidRPr="00DF2BBB">
        <w:rPr>
          <w:b/>
        </w:rPr>
        <w:t>9. AOB</w:t>
      </w:r>
    </w:p>
    <w:p w14:paraId="106027C5" w14:textId="309DD654" w:rsidR="0040461E" w:rsidRPr="00DF2BBB" w:rsidRDefault="0040461E" w:rsidP="000C0402">
      <w:pPr>
        <w:spacing w:line="240" w:lineRule="auto"/>
        <w:jc w:val="both"/>
        <w:rPr>
          <w:u w:val="single"/>
        </w:rPr>
      </w:pPr>
      <w:r w:rsidRPr="00DF2BBB">
        <w:rPr>
          <w:u w:val="single"/>
        </w:rPr>
        <w:t xml:space="preserve">9.1 </w:t>
      </w:r>
      <w:r w:rsidR="00DF2BBB" w:rsidRPr="00DF2BBB">
        <w:rPr>
          <w:u w:val="single"/>
        </w:rPr>
        <w:t>Date of next meeting</w:t>
      </w:r>
    </w:p>
    <w:p w14:paraId="53E272F4" w14:textId="6B735B36" w:rsidR="00DD36FC" w:rsidRDefault="00DF2BBB" w:rsidP="000C0402">
      <w:pPr>
        <w:spacing w:line="240" w:lineRule="auto"/>
        <w:jc w:val="both"/>
      </w:pPr>
      <w:r w:rsidRPr="00DF2BBB">
        <w:t>Poll for meeting dates in mid-late April</w:t>
      </w:r>
      <w:r w:rsidR="005803C9">
        <w:t>.</w:t>
      </w:r>
    </w:p>
    <w:p w14:paraId="684FD31B" w14:textId="4F99D034" w:rsidR="008D06A9" w:rsidRPr="0074544E" w:rsidRDefault="008D06A9" w:rsidP="000C0402">
      <w:pPr>
        <w:spacing w:after="0" w:line="240" w:lineRule="auto"/>
        <w:jc w:val="both"/>
        <w:rPr>
          <w:highlight w:val="yellow"/>
        </w:rPr>
      </w:pPr>
    </w:p>
    <w:p w14:paraId="5962A992" w14:textId="77777777" w:rsidR="00381D50" w:rsidRPr="00EC7EAE" w:rsidRDefault="00381D50" w:rsidP="000C0402">
      <w:pPr>
        <w:spacing w:after="0" w:line="240" w:lineRule="auto"/>
        <w:jc w:val="both"/>
        <w:rPr>
          <w:b/>
          <w:sz w:val="24"/>
          <w:szCs w:val="24"/>
          <w:u w:val="single"/>
        </w:rPr>
      </w:pPr>
      <w:r w:rsidRPr="00EC7EAE">
        <w:rPr>
          <w:b/>
          <w:sz w:val="24"/>
          <w:szCs w:val="24"/>
          <w:u w:val="single"/>
        </w:rPr>
        <w:t>ACTION LIST</w:t>
      </w:r>
    </w:p>
    <w:p w14:paraId="39101C0F" w14:textId="6CD02C91" w:rsidR="00EF178B" w:rsidRPr="00EC7EAE" w:rsidRDefault="001F3B8F" w:rsidP="000C0402">
      <w:pPr>
        <w:spacing w:after="0" w:line="240" w:lineRule="auto"/>
        <w:jc w:val="both"/>
        <w:rPr>
          <w:b/>
        </w:rPr>
      </w:pPr>
      <w:r w:rsidRPr="00EC7EAE">
        <w:rPr>
          <w:b/>
        </w:rPr>
        <w:t>Ne</w:t>
      </w:r>
      <w:r w:rsidR="00EC7EAE" w:rsidRPr="00EC7EAE">
        <w:rPr>
          <w:b/>
        </w:rPr>
        <w:t>w actions from DAC WG meeting 8</w:t>
      </w:r>
      <w:r w:rsidR="0040461E" w:rsidRPr="00EC7EAE">
        <w:rPr>
          <w:b/>
          <w:vertAlign w:val="superscript"/>
        </w:rPr>
        <w:t>th</w:t>
      </w:r>
      <w:r w:rsidR="0040461E" w:rsidRPr="00EC7EAE">
        <w:rPr>
          <w:b/>
        </w:rPr>
        <w:t xml:space="preserve"> </w:t>
      </w:r>
      <w:r w:rsidR="00EC7EAE" w:rsidRPr="00EC7EAE">
        <w:rPr>
          <w:b/>
        </w:rPr>
        <w:t>November</w:t>
      </w:r>
      <w:r w:rsidR="0040461E" w:rsidRPr="00EC7EAE">
        <w:rPr>
          <w:b/>
        </w:rPr>
        <w:t xml:space="preserve"> 2017</w:t>
      </w:r>
    </w:p>
    <w:tbl>
      <w:tblPr>
        <w:tblStyle w:val="TableGrid"/>
        <w:tblW w:w="0" w:type="auto"/>
        <w:tblLook w:val="04A0" w:firstRow="1" w:lastRow="0" w:firstColumn="1" w:lastColumn="0" w:noHBand="0" w:noVBand="1"/>
      </w:tblPr>
      <w:tblGrid>
        <w:gridCol w:w="604"/>
        <w:gridCol w:w="6054"/>
        <w:gridCol w:w="2358"/>
      </w:tblGrid>
      <w:tr w:rsidR="008646B1" w:rsidRPr="0074544E" w14:paraId="07648B24" w14:textId="77777777" w:rsidTr="005803C9">
        <w:tc>
          <w:tcPr>
            <w:tcW w:w="6658" w:type="dxa"/>
            <w:gridSpan w:val="2"/>
          </w:tcPr>
          <w:p w14:paraId="0043361B" w14:textId="77777777" w:rsidR="008646B1" w:rsidRPr="00EC7EAE" w:rsidRDefault="008646B1" w:rsidP="000C0402">
            <w:pPr>
              <w:jc w:val="both"/>
              <w:rPr>
                <w:b/>
                <w:sz w:val="18"/>
                <w:szCs w:val="18"/>
              </w:rPr>
            </w:pPr>
            <w:r w:rsidRPr="00EC7EAE">
              <w:rPr>
                <w:b/>
                <w:sz w:val="18"/>
                <w:szCs w:val="18"/>
              </w:rPr>
              <w:t>Action</w:t>
            </w:r>
          </w:p>
        </w:tc>
        <w:tc>
          <w:tcPr>
            <w:tcW w:w="2358" w:type="dxa"/>
          </w:tcPr>
          <w:p w14:paraId="2D7F4AC7" w14:textId="77777777" w:rsidR="008646B1" w:rsidRPr="00EC7EAE" w:rsidRDefault="008646B1" w:rsidP="000C0402">
            <w:pPr>
              <w:jc w:val="both"/>
              <w:rPr>
                <w:b/>
                <w:sz w:val="18"/>
                <w:szCs w:val="18"/>
              </w:rPr>
            </w:pPr>
            <w:r w:rsidRPr="00EC7EAE">
              <w:rPr>
                <w:b/>
                <w:sz w:val="18"/>
                <w:szCs w:val="18"/>
              </w:rPr>
              <w:t>Progress</w:t>
            </w:r>
          </w:p>
        </w:tc>
      </w:tr>
      <w:tr w:rsidR="008646B1" w:rsidRPr="0074544E" w14:paraId="13F686A1" w14:textId="77777777" w:rsidTr="005803C9">
        <w:tc>
          <w:tcPr>
            <w:tcW w:w="604" w:type="dxa"/>
          </w:tcPr>
          <w:p w14:paraId="373A9395" w14:textId="3B568AC0" w:rsidR="008646B1" w:rsidRPr="00851AB2" w:rsidRDefault="00EC7EAE" w:rsidP="000C0402">
            <w:pPr>
              <w:jc w:val="both"/>
              <w:rPr>
                <w:sz w:val="18"/>
                <w:szCs w:val="18"/>
                <w:highlight w:val="yellow"/>
              </w:rPr>
            </w:pPr>
            <w:r w:rsidRPr="00851AB2">
              <w:rPr>
                <w:sz w:val="18"/>
                <w:szCs w:val="18"/>
              </w:rPr>
              <w:t>7.1</w:t>
            </w:r>
          </w:p>
        </w:tc>
        <w:tc>
          <w:tcPr>
            <w:tcW w:w="6054" w:type="dxa"/>
          </w:tcPr>
          <w:p w14:paraId="5D3C9B1C" w14:textId="199888B4" w:rsidR="008646B1" w:rsidRPr="00851AB2" w:rsidRDefault="00EC7EAE" w:rsidP="000C0402">
            <w:pPr>
              <w:jc w:val="both"/>
              <w:rPr>
                <w:sz w:val="18"/>
                <w:szCs w:val="18"/>
                <w:highlight w:val="yellow"/>
              </w:rPr>
            </w:pPr>
            <w:r w:rsidRPr="00851AB2">
              <w:rPr>
                <w:b/>
                <w:sz w:val="18"/>
                <w:szCs w:val="18"/>
              </w:rPr>
              <w:t>Clare Postlethwaite</w:t>
            </w:r>
            <w:r w:rsidRPr="00851AB2">
              <w:rPr>
                <w:sz w:val="18"/>
                <w:szCs w:val="18"/>
              </w:rPr>
              <w:t xml:space="preserve"> to issue another call for small scale projects to be completed by end of this FY.</w:t>
            </w:r>
          </w:p>
        </w:tc>
        <w:tc>
          <w:tcPr>
            <w:tcW w:w="2358" w:type="dxa"/>
          </w:tcPr>
          <w:p w14:paraId="79177528" w14:textId="77777777" w:rsidR="008646B1" w:rsidRPr="0074544E" w:rsidRDefault="008646B1" w:rsidP="000C0402">
            <w:pPr>
              <w:jc w:val="both"/>
              <w:rPr>
                <w:sz w:val="18"/>
                <w:szCs w:val="18"/>
                <w:highlight w:val="yellow"/>
              </w:rPr>
            </w:pPr>
          </w:p>
        </w:tc>
      </w:tr>
      <w:tr w:rsidR="008646B1" w:rsidRPr="0074544E" w14:paraId="7496B112" w14:textId="77777777" w:rsidTr="005803C9">
        <w:tc>
          <w:tcPr>
            <w:tcW w:w="604" w:type="dxa"/>
          </w:tcPr>
          <w:p w14:paraId="73979525" w14:textId="3609E171" w:rsidR="008646B1" w:rsidRPr="00851AB2" w:rsidRDefault="00EC7EAE" w:rsidP="000C0402">
            <w:pPr>
              <w:jc w:val="both"/>
              <w:rPr>
                <w:sz w:val="18"/>
                <w:szCs w:val="18"/>
                <w:highlight w:val="yellow"/>
              </w:rPr>
            </w:pPr>
            <w:r w:rsidRPr="00851AB2">
              <w:rPr>
                <w:sz w:val="18"/>
                <w:szCs w:val="18"/>
              </w:rPr>
              <w:t>7.2</w:t>
            </w:r>
          </w:p>
        </w:tc>
        <w:tc>
          <w:tcPr>
            <w:tcW w:w="6054" w:type="dxa"/>
          </w:tcPr>
          <w:p w14:paraId="1941914C" w14:textId="6DCE96B8" w:rsidR="008646B1" w:rsidRPr="00851AB2" w:rsidRDefault="00EC7EAE" w:rsidP="000C0402">
            <w:pPr>
              <w:jc w:val="both"/>
              <w:rPr>
                <w:sz w:val="18"/>
                <w:szCs w:val="18"/>
              </w:rPr>
            </w:pPr>
            <w:r w:rsidRPr="00851AB2">
              <w:rPr>
                <w:b/>
                <w:sz w:val="18"/>
                <w:szCs w:val="18"/>
              </w:rPr>
              <w:t>DACs</w:t>
            </w:r>
            <w:r w:rsidRPr="00851AB2">
              <w:rPr>
                <w:sz w:val="18"/>
                <w:szCs w:val="18"/>
              </w:rPr>
              <w:t xml:space="preserve"> to check their status for INSPIRE compliance is portrayed correctly in the INSPIRE table. Respond to Lesley Rickards before 22</w:t>
            </w:r>
            <w:r w:rsidRPr="00851AB2">
              <w:rPr>
                <w:sz w:val="18"/>
                <w:szCs w:val="18"/>
                <w:vertAlign w:val="superscript"/>
              </w:rPr>
              <w:t>nd</w:t>
            </w:r>
            <w:r w:rsidRPr="00851AB2">
              <w:rPr>
                <w:sz w:val="18"/>
                <w:szCs w:val="18"/>
              </w:rPr>
              <w:t xml:space="preserve"> December 2017.</w:t>
            </w:r>
          </w:p>
        </w:tc>
        <w:tc>
          <w:tcPr>
            <w:tcW w:w="2358" w:type="dxa"/>
          </w:tcPr>
          <w:p w14:paraId="036FD6F9" w14:textId="71239DF7" w:rsidR="008646B1" w:rsidRPr="0074544E" w:rsidRDefault="008646B1" w:rsidP="000C0402">
            <w:pPr>
              <w:jc w:val="both"/>
              <w:rPr>
                <w:sz w:val="18"/>
                <w:szCs w:val="18"/>
                <w:highlight w:val="yellow"/>
              </w:rPr>
            </w:pPr>
          </w:p>
        </w:tc>
      </w:tr>
      <w:tr w:rsidR="008646B1" w:rsidRPr="0074544E" w14:paraId="64368585" w14:textId="77777777" w:rsidTr="005803C9">
        <w:tc>
          <w:tcPr>
            <w:tcW w:w="604" w:type="dxa"/>
          </w:tcPr>
          <w:p w14:paraId="5413FC98" w14:textId="2D1D5830" w:rsidR="008646B1" w:rsidRPr="00851AB2" w:rsidRDefault="00EC7EAE" w:rsidP="000C0402">
            <w:pPr>
              <w:jc w:val="both"/>
              <w:rPr>
                <w:sz w:val="18"/>
                <w:szCs w:val="18"/>
                <w:highlight w:val="yellow"/>
              </w:rPr>
            </w:pPr>
            <w:r w:rsidRPr="00851AB2">
              <w:rPr>
                <w:sz w:val="18"/>
                <w:szCs w:val="18"/>
              </w:rPr>
              <w:t>7.3</w:t>
            </w:r>
          </w:p>
        </w:tc>
        <w:tc>
          <w:tcPr>
            <w:tcW w:w="6054" w:type="dxa"/>
          </w:tcPr>
          <w:p w14:paraId="0A8F1F85" w14:textId="08F2332E" w:rsidR="008646B1" w:rsidRPr="00851AB2" w:rsidRDefault="00EC7EAE" w:rsidP="000C0402">
            <w:pPr>
              <w:jc w:val="both"/>
              <w:rPr>
                <w:sz w:val="18"/>
                <w:szCs w:val="18"/>
              </w:rPr>
            </w:pPr>
            <w:r w:rsidRPr="00851AB2">
              <w:rPr>
                <w:b/>
                <w:sz w:val="18"/>
                <w:szCs w:val="18"/>
              </w:rPr>
              <w:t>All DACs</w:t>
            </w:r>
            <w:r w:rsidRPr="00851AB2">
              <w:rPr>
                <w:sz w:val="18"/>
                <w:szCs w:val="18"/>
              </w:rPr>
              <w:t xml:space="preserve"> to feedback to Lesley Rickards by 22</w:t>
            </w:r>
            <w:r w:rsidRPr="00851AB2">
              <w:rPr>
                <w:sz w:val="18"/>
                <w:szCs w:val="18"/>
                <w:vertAlign w:val="superscript"/>
              </w:rPr>
              <w:t>nd</w:t>
            </w:r>
            <w:r w:rsidRPr="00851AB2">
              <w:rPr>
                <w:sz w:val="18"/>
                <w:szCs w:val="18"/>
              </w:rPr>
              <w:t xml:space="preserve"> December 2017 whether they can provide a breakdown each year of who is using their data.</w:t>
            </w:r>
          </w:p>
        </w:tc>
        <w:tc>
          <w:tcPr>
            <w:tcW w:w="2358" w:type="dxa"/>
          </w:tcPr>
          <w:p w14:paraId="2FB8EBB0" w14:textId="6FA84687" w:rsidR="008646B1" w:rsidRPr="0074544E" w:rsidRDefault="008646B1" w:rsidP="000C0402">
            <w:pPr>
              <w:jc w:val="both"/>
              <w:rPr>
                <w:sz w:val="18"/>
                <w:szCs w:val="18"/>
                <w:highlight w:val="yellow"/>
              </w:rPr>
            </w:pPr>
          </w:p>
        </w:tc>
      </w:tr>
      <w:tr w:rsidR="008646B1" w:rsidRPr="0074544E" w14:paraId="6BB53E26" w14:textId="77777777" w:rsidTr="005803C9">
        <w:tc>
          <w:tcPr>
            <w:tcW w:w="604" w:type="dxa"/>
          </w:tcPr>
          <w:p w14:paraId="1AAD1D34" w14:textId="20422C17" w:rsidR="008646B1" w:rsidRPr="00851AB2" w:rsidRDefault="00EC7EAE" w:rsidP="000C0402">
            <w:pPr>
              <w:jc w:val="both"/>
              <w:rPr>
                <w:sz w:val="18"/>
                <w:szCs w:val="18"/>
                <w:highlight w:val="yellow"/>
              </w:rPr>
            </w:pPr>
            <w:r w:rsidRPr="00851AB2">
              <w:rPr>
                <w:sz w:val="18"/>
                <w:szCs w:val="18"/>
              </w:rPr>
              <w:t>7.4</w:t>
            </w:r>
          </w:p>
        </w:tc>
        <w:tc>
          <w:tcPr>
            <w:tcW w:w="6054" w:type="dxa"/>
          </w:tcPr>
          <w:p w14:paraId="63022B60" w14:textId="34C19BCF" w:rsidR="008646B1" w:rsidRPr="00851AB2" w:rsidRDefault="00EC7EAE" w:rsidP="000C0402">
            <w:pPr>
              <w:jc w:val="both"/>
              <w:rPr>
                <w:sz w:val="18"/>
                <w:szCs w:val="18"/>
              </w:rPr>
            </w:pPr>
            <w:r w:rsidRPr="00851AB2">
              <w:rPr>
                <w:b/>
                <w:sz w:val="18"/>
                <w:szCs w:val="18"/>
              </w:rPr>
              <w:t>Lesley Rickards/Robin McCandliss</w:t>
            </w:r>
            <w:r w:rsidRPr="00851AB2">
              <w:rPr>
                <w:sz w:val="18"/>
                <w:szCs w:val="18"/>
              </w:rPr>
              <w:t xml:space="preserve"> to send ADS the DAC reaccreditation form.</w:t>
            </w:r>
          </w:p>
        </w:tc>
        <w:tc>
          <w:tcPr>
            <w:tcW w:w="2358" w:type="dxa"/>
          </w:tcPr>
          <w:p w14:paraId="6546E467" w14:textId="38CB64DC" w:rsidR="008646B1" w:rsidRPr="0074544E" w:rsidRDefault="008646B1" w:rsidP="000C0402">
            <w:pPr>
              <w:jc w:val="both"/>
              <w:rPr>
                <w:sz w:val="18"/>
                <w:szCs w:val="18"/>
                <w:highlight w:val="yellow"/>
              </w:rPr>
            </w:pPr>
          </w:p>
        </w:tc>
      </w:tr>
      <w:tr w:rsidR="008646B1" w:rsidRPr="0074544E" w14:paraId="334E7C76" w14:textId="77777777" w:rsidTr="005803C9">
        <w:tc>
          <w:tcPr>
            <w:tcW w:w="604" w:type="dxa"/>
          </w:tcPr>
          <w:p w14:paraId="231E25E0" w14:textId="5D250237" w:rsidR="008646B1" w:rsidRPr="00851AB2" w:rsidRDefault="00EC7EAE" w:rsidP="000C0402">
            <w:pPr>
              <w:jc w:val="both"/>
              <w:rPr>
                <w:sz w:val="18"/>
                <w:szCs w:val="18"/>
                <w:highlight w:val="yellow"/>
              </w:rPr>
            </w:pPr>
            <w:r w:rsidRPr="00851AB2">
              <w:rPr>
                <w:sz w:val="18"/>
                <w:szCs w:val="18"/>
              </w:rPr>
              <w:t>7.5</w:t>
            </w:r>
          </w:p>
        </w:tc>
        <w:tc>
          <w:tcPr>
            <w:tcW w:w="6054" w:type="dxa"/>
          </w:tcPr>
          <w:p w14:paraId="569FD5C5" w14:textId="03D40414" w:rsidR="008646B1" w:rsidRPr="00851AB2" w:rsidRDefault="00EC7EAE" w:rsidP="000C0402">
            <w:pPr>
              <w:jc w:val="both"/>
              <w:rPr>
                <w:sz w:val="18"/>
                <w:szCs w:val="18"/>
              </w:rPr>
            </w:pPr>
            <w:r w:rsidRPr="00851AB2">
              <w:rPr>
                <w:b/>
                <w:sz w:val="18"/>
                <w:szCs w:val="18"/>
              </w:rPr>
              <w:t>Charlotte Miskin-Hymas</w:t>
            </w:r>
            <w:r w:rsidRPr="00851AB2">
              <w:rPr>
                <w:sz w:val="18"/>
                <w:szCs w:val="18"/>
              </w:rPr>
              <w:t xml:space="preserve"> to include recent DAC reaccreditations in MDN.</w:t>
            </w:r>
          </w:p>
        </w:tc>
        <w:tc>
          <w:tcPr>
            <w:tcW w:w="2358" w:type="dxa"/>
          </w:tcPr>
          <w:p w14:paraId="4CD8C6C6" w14:textId="277798FC" w:rsidR="008646B1" w:rsidRPr="0074544E" w:rsidRDefault="00E97111" w:rsidP="000C0402">
            <w:pPr>
              <w:jc w:val="both"/>
              <w:rPr>
                <w:sz w:val="18"/>
                <w:szCs w:val="18"/>
                <w:highlight w:val="yellow"/>
              </w:rPr>
            </w:pPr>
            <w:r w:rsidRPr="00E97111">
              <w:rPr>
                <w:sz w:val="18"/>
                <w:szCs w:val="18"/>
              </w:rPr>
              <w:t>Delayed to next edition of MDN in 2018</w:t>
            </w:r>
          </w:p>
        </w:tc>
      </w:tr>
      <w:tr w:rsidR="008646B1" w:rsidRPr="0074544E" w14:paraId="67F6AC55" w14:textId="77777777" w:rsidTr="005803C9">
        <w:tc>
          <w:tcPr>
            <w:tcW w:w="604" w:type="dxa"/>
          </w:tcPr>
          <w:p w14:paraId="65098F3C" w14:textId="0D1C5B9C" w:rsidR="008646B1" w:rsidRPr="00851AB2" w:rsidRDefault="00EC7EAE" w:rsidP="000C0402">
            <w:pPr>
              <w:jc w:val="both"/>
              <w:rPr>
                <w:sz w:val="18"/>
                <w:szCs w:val="18"/>
                <w:highlight w:val="yellow"/>
              </w:rPr>
            </w:pPr>
            <w:r w:rsidRPr="00851AB2">
              <w:rPr>
                <w:sz w:val="18"/>
                <w:szCs w:val="18"/>
              </w:rPr>
              <w:t>7.6</w:t>
            </w:r>
          </w:p>
        </w:tc>
        <w:tc>
          <w:tcPr>
            <w:tcW w:w="6054" w:type="dxa"/>
          </w:tcPr>
          <w:p w14:paraId="3AC8DEDE" w14:textId="15887987" w:rsidR="008646B1" w:rsidRPr="00851AB2" w:rsidRDefault="00EC7EAE" w:rsidP="000C0402">
            <w:pPr>
              <w:jc w:val="both"/>
              <w:rPr>
                <w:sz w:val="18"/>
                <w:szCs w:val="18"/>
              </w:rPr>
            </w:pPr>
            <w:r w:rsidRPr="00851AB2">
              <w:rPr>
                <w:b/>
                <w:sz w:val="18"/>
                <w:szCs w:val="18"/>
              </w:rPr>
              <w:t>Jens Rasmussen</w:t>
            </w:r>
            <w:r w:rsidRPr="00851AB2">
              <w:rPr>
                <w:sz w:val="18"/>
                <w:szCs w:val="18"/>
              </w:rPr>
              <w:t xml:space="preserve"> to form a small, technical focus group to explore increasing volumes and complexity, support for machine-to-machine access, unstructured data, semantic linking and feedback to DAC WG.</w:t>
            </w:r>
          </w:p>
        </w:tc>
        <w:tc>
          <w:tcPr>
            <w:tcW w:w="2358" w:type="dxa"/>
          </w:tcPr>
          <w:p w14:paraId="471ABDF8" w14:textId="77847E11" w:rsidR="008646B1" w:rsidRPr="0074544E" w:rsidRDefault="008646B1" w:rsidP="000C0402">
            <w:pPr>
              <w:jc w:val="both"/>
              <w:rPr>
                <w:sz w:val="18"/>
                <w:szCs w:val="18"/>
                <w:highlight w:val="yellow"/>
              </w:rPr>
            </w:pPr>
          </w:p>
        </w:tc>
      </w:tr>
      <w:tr w:rsidR="008646B1" w:rsidRPr="0074544E" w14:paraId="08A7CBBE" w14:textId="77777777" w:rsidTr="005803C9">
        <w:tc>
          <w:tcPr>
            <w:tcW w:w="604" w:type="dxa"/>
          </w:tcPr>
          <w:p w14:paraId="7D3E1F87" w14:textId="0DDBDEA1" w:rsidR="008646B1" w:rsidRPr="00851AB2" w:rsidRDefault="00EC7EAE" w:rsidP="000C0402">
            <w:pPr>
              <w:jc w:val="both"/>
              <w:rPr>
                <w:sz w:val="18"/>
                <w:szCs w:val="18"/>
                <w:highlight w:val="yellow"/>
              </w:rPr>
            </w:pPr>
            <w:r w:rsidRPr="00851AB2">
              <w:rPr>
                <w:sz w:val="18"/>
                <w:szCs w:val="18"/>
              </w:rPr>
              <w:t>7.7</w:t>
            </w:r>
          </w:p>
        </w:tc>
        <w:tc>
          <w:tcPr>
            <w:tcW w:w="6054" w:type="dxa"/>
          </w:tcPr>
          <w:p w14:paraId="534C7866" w14:textId="17E2C7DD" w:rsidR="008646B1" w:rsidRPr="00851AB2" w:rsidRDefault="00EC7EAE" w:rsidP="000C0402">
            <w:pPr>
              <w:jc w:val="both"/>
              <w:rPr>
                <w:sz w:val="18"/>
                <w:szCs w:val="18"/>
              </w:rPr>
            </w:pPr>
            <w:r w:rsidRPr="00851AB2">
              <w:rPr>
                <w:b/>
                <w:sz w:val="18"/>
                <w:szCs w:val="18"/>
              </w:rPr>
              <w:t>DACs</w:t>
            </w:r>
            <w:r w:rsidRPr="00851AB2">
              <w:rPr>
                <w:sz w:val="18"/>
                <w:szCs w:val="18"/>
              </w:rPr>
              <w:t xml:space="preserve"> to provide comment and feedback on proposed changes to MEDIN web pages.</w:t>
            </w:r>
          </w:p>
        </w:tc>
        <w:tc>
          <w:tcPr>
            <w:tcW w:w="2358" w:type="dxa"/>
          </w:tcPr>
          <w:p w14:paraId="37B3D2B9" w14:textId="2DBDCF42" w:rsidR="008646B1" w:rsidRPr="0074544E" w:rsidRDefault="008646B1" w:rsidP="000C0402">
            <w:pPr>
              <w:jc w:val="both"/>
              <w:rPr>
                <w:sz w:val="18"/>
                <w:szCs w:val="18"/>
                <w:highlight w:val="yellow"/>
              </w:rPr>
            </w:pPr>
          </w:p>
        </w:tc>
      </w:tr>
      <w:tr w:rsidR="008646B1" w:rsidRPr="0074544E" w14:paraId="1CFA09BB" w14:textId="77777777" w:rsidTr="005803C9">
        <w:tc>
          <w:tcPr>
            <w:tcW w:w="604" w:type="dxa"/>
          </w:tcPr>
          <w:p w14:paraId="283FE4E8" w14:textId="17F3228B" w:rsidR="008646B1" w:rsidRPr="00851AB2" w:rsidRDefault="00EC7EAE" w:rsidP="000C0402">
            <w:pPr>
              <w:jc w:val="both"/>
              <w:rPr>
                <w:sz w:val="18"/>
                <w:szCs w:val="18"/>
                <w:highlight w:val="yellow"/>
              </w:rPr>
            </w:pPr>
            <w:r w:rsidRPr="00851AB2">
              <w:rPr>
                <w:sz w:val="18"/>
                <w:szCs w:val="18"/>
              </w:rPr>
              <w:t>7.8</w:t>
            </w:r>
          </w:p>
        </w:tc>
        <w:tc>
          <w:tcPr>
            <w:tcW w:w="6054" w:type="dxa"/>
          </w:tcPr>
          <w:p w14:paraId="6D2D8DFE" w14:textId="72C65FBF" w:rsidR="008646B1" w:rsidRPr="00851AB2" w:rsidRDefault="00EC7EAE" w:rsidP="000C0402">
            <w:pPr>
              <w:jc w:val="both"/>
              <w:rPr>
                <w:sz w:val="18"/>
                <w:szCs w:val="18"/>
              </w:rPr>
            </w:pPr>
            <w:r w:rsidRPr="00851AB2">
              <w:rPr>
                <w:b/>
                <w:sz w:val="18"/>
                <w:szCs w:val="18"/>
              </w:rPr>
              <w:t>Peter Thijsse</w:t>
            </w:r>
            <w:r w:rsidRPr="00851AB2">
              <w:rPr>
                <w:sz w:val="18"/>
                <w:szCs w:val="18"/>
              </w:rPr>
              <w:t xml:space="preserve"> to provide a validation tool log in for each organisation</w:t>
            </w:r>
          </w:p>
        </w:tc>
        <w:tc>
          <w:tcPr>
            <w:tcW w:w="2358" w:type="dxa"/>
          </w:tcPr>
          <w:p w14:paraId="07AD4343" w14:textId="53227CCD" w:rsidR="008646B1" w:rsidRPr="0074544E" w:rsidRDefault="008646B1" w:rsidP="000C0402">
            <w:pPr>
              <w:jc w:val="both"/>
              <w:rPr>
                <w:sz w:val="18"/>
                <w:szCs w:val="18"/>
                <w:highlight w:val="yellow"/>
              </w:rPr>
            </w:pPr>
          </w:p>
        </w:tc>
      </w:tr>
      <w:tr w:rsidR="008646B1" w:rsidRPr="0074544E" w14:paraId="341A0857" w14:textId="77777777" w:rsidTr="005803C9">
        <w:tc>
          <w:tcPr>
            <w:tcW w:w="604" w:type="dxa"/>
          </w:tcPr>
          <w:p w14:paraId="3F53FABD" w14:textId="13CF6CA2" w:rsidR="008646B1" w:rsidRPr="00851AB2" w:rsidRDefault="00851AB2" w:rsidP="000C0402">
            <w:pPr>
              <w:jc w:val="both"/>
              <w:rPr>
                <w:sz w:val="18"/>
                <w:szCs w:val="18"/>
                <w:highlight w:val="yellow"/>
              </w:rPr>
            </w:pPr>
            <w:r w:rsidRPr="00851AB2">
              <w:rPr>
                <w:sz w:val="18"/>
                <w:szCs w:val="18"/>
              </w:rPr>
              <w:t>7.9</w:t>
            </w:r>
          </w:p>
        </w:tc>
        <w:tc>
          <w:tcPr>
            <w:tcW w:w="6054" w:type="dxa"/>
          </w:tcPr>
          <w:p w14:paraId="53778DAC" w14:textId="7BFA1393" w:rsidR="008646B1" w:rsidRPr="00851AB2" w:rsidRDefault="00EC7EAE" w:rsidP="000C0402">
            <w:pPr>
              <w:jc w:val="both"/>
              <w:rPr>
                <w:sz w:val="18"/>
                <w:szCs w:val="18"/>
              </w:rPr>
            </w:pPr>
            <w:r w:rsidRPr="00851AB2">
              <w:rPr>
                <w:b/>
                <w:sz w:val="18"/>
                <w:szCs w:val="18"/>
              </w:rPr>
              <w:t>Louisa Matthews</w:t>
            </w:r>
            <w:r w:rsidRPr="00851AB2">
              <w:rPr>
                <w:sz w:val="18"/>
                <w:szCs w:val="18"/>
              </w:rPr>
              <w:t xml:space="preserve"> to discuss OASIS metadata validation issue with Gaynor Evans and Peter Thijsse</w:t>
            </w:r>
          </w:p>
        </w:tc>
        <w:tc>
          <w:tcPr>
            <w:tcW w:w="2358" w:type="dxa"/>
          </w:tcPr>
          <w:p w14:paraId="2C82E1B8" w14:textId="4846FFD8" w:rsidR="008646B1" w:rsidRPr="0074544E" w:rsidRDefault="008646B1" w:rsidP="000C0402">
            <w:pPr>
              <w:jc w:val="both"/>
              <w:rPr>
                <w:sz w:val="18"/>
                <w:szCs w:val="18"/>
                <w:highlight w:val="yellow"/>
              </w:rPr>
            </w:pPr>
          </w:p>
        </w:tc>
      </w:tr>
      <w:tr w:rsidR="008646B1" w:rsidRPr="0074544E" w14:paraId="3A60C2A7" w14:textId="77777777" w:rsidTr="005803C9">
        <w:tc>
          <w:tcPr>
            <w:tcW w:w="604" w:type="dxa"/>
          </w:tcPr>
          <w:p w14:paraId="65BEC9CB" w14:textId="1E91EC79" w:rsidR="008646B1" w:rsidRPr="00851AB2" w:rsidRDefault="00851AB2" w:rsidP="000C0402">
            <w:pPr>
              <w:jc w:val="both"/>
              <w:rPr>
                <w:sz w:val="18"/>
                <w:szCs w:val="18"/>
                <w:highlight w:val="yellow"/>
              </w:rPr>
            </w:pPr>
            <w:r w:rsidRPr="00851AB2">
              <w:rPr>
                <w:sz w:val="18"/>
                <w:szCs w:val="18"/>
              </w:rPr>
              <w:t>7.10</w:t>
            </w:r>
          </w:p>
        </w:tc>
        <w:tc>
          <w:tcPr>
            <w:tcW w:w="6054" w:type="dxa"/>
          </w:tcPr>
          <w:p w14:paraId="1ED659CA" w14:textId="090DFD0A" w:rsidR="008646B1" w:rsidRPr="00851AB2" w:rsidRDefault="006909B7" w:rsidP="000C0402">
            <w:pPr>
              <w:jc w:val="both"/>
              <w:rPr>
                <w:sz w:val="18"/>
                <w:szCs w:val="18"/>
              </w:rPr>
            </w:pPr>
            <w:r>
              <w:rPr>
                <w:b/>
                <w:i/>
              </w:rPr>
              <w:t xml:space="preserve"> </w:t>
            </w:r>
            <w:r w:rsidRPr="00281DB6">
              <w:rPr>
                <w:sz w:val="18"/>
                <w:szCs w:val="18"/>
              </w:rPr>
              <w:t>Robin McCandliss to arrange a DAC WG teleconference in early 2018 for DACs to report progress in fixing metadata validation issues.</w:t>
            </w:r>
          </w:p>
        </w:tc>
        <w:tc>
          <w:tcPr>
            <w:tcW w:w="2358" w:type="dxa"/>
          </w:tcPr>
          <w:p w14:paraId="203F605E" w14:textId="2C7A1213" w:rsidR="008646B1" w:rsidRPr="0074544E" w:rsidRDefault="008646B1" w:rsidP="000C0402">
            <w:pPr>
              <w:jc w:val="both"/>
              <w:rPr>
                <w:sz w:val="18"/>
                <w:szCs w:val="18"/>
                <w:highlight w:val="yellow"/>
              </w:rPr>
            </w:pPr>
          </w:p>
        </w:tc>
      </w:tr>
      <w:tr w:rsidR="006909B7" w:rsidRPr="0074544E" w14:paraId="3F63B42D" w14:textId="77777777" w:rsidTr="005803C9">
        <w:tc>
          <w:tcPr>
            <w:tcW w:w="604" w:type="dxa"/>
          </w:tcPr>
          <w:p w14:paraId="6703D427" w14:textId="787DE545" w:rsidR="006909B7" w:rsidRPr="00851AB2" w:rsidRDefault="006909B7" w:rsidP="000C0402">
            <w:pPr>
              <w:jc w:val="both"/>
              <w:rPr>
                <w:sz w:val="18"/>
                <w:szCs w:val="18"/>
              </w:rPr>
            </w:pPr>
            <w:r>
              <w:rPr>
                <w:sz w:val="18"/>
                <w:szCs w:val="18"/>
              </w:rPr>
              <w:t>7.11</w:t>
            </w:r>
          </w:p>
        </w:tc>
        <w:tc>
          <w:tcPr>
            <w:tcW w:w="6054" w:type="dxa"/>
          </w:tcPr>
          <w:p w14:paraId="18EED03C" w14:textId="1E9E3706" w:rsidR="006909B7" w:rsidRPr="00281DB6" w:rsidRDefault="006909B7" w:rsidP="000C0402">
            <w:pPr>
              <w:jc w:val="both"/>
              <w:rPr>
                <w:sz w:val="18"/>
                <w:szCs w:val="18"/>
              </w:rPr>
            </w:pPr>
            <w:r w:rsidRPr="00281DB6">
              <w:rPr>
                <w:sz w:val="18"/>
                <w:szCs w:val="18"/>
              </w:rPr>
              <w:t>Jens Rasmussen to validate metadata records using both Metadata Maestro and MARIS tool and report back to DAC WG at teleconference in early 2018.</w:t>
            </w:r>
          </w:p>
        </w:tc>
        <w:tc>
          <w:tcPr>
            <w:tcW w:w="2358" w:type="dxa"/>
          </w:tcPr>
          <w:p w14:paraId="1CB74F23" w14:textId="77777777" w:rsidR="006909B7" w:rsidRPr="0074544E" w:rsidRDefault="006909B7" w:rsidP="000C0402">
            <w:pPr>
              <w:jc w:val="both"/>
              <w:rPr>
                <w:sz w:val="18"/>
                <w:szCs w:val="18"/>
                <w:highlight w:val="yellow"/>
              </w:rPr>
            </w:pPr>
          </w:p>
        </w:tc>
      </w:tr>
      <w:tr w:rsidR="006909B7" w:rsidRPr="0074544E" w14:paraId="6979A95C" w14:textId="77777777" w:rsidTr="005803C9">
        <w:tc>
          <w:tcPr>
            <w:tcW w:w="604" w:type="dxa"/>
          </w:tcPr>
          <w:p w14:paraId="7C70045E" w14:textId="21AF8B1E" w:rsidR="006909B7" w:rsidRPr="00851AB2" w:rsidRDefault="006909B7" w:rsidP="000C0402">
            <w:pPr>
              <w:jc w:val="both"/>
              <w:rPr>
                <w:sz w:val="18"/>
                <w:szCs w:val="18"/>
              </w:rPr>
            </w:pPr>
            <w:r>
              <w:rPr>
                <w:sz w:val="18"/>
                <w:szCs w:val="18"/>
              </w:rPr>
              <w:t>7.12</w:t>
            </w:r>
          </w:p>
        </w:tc>
        <w:tc>
          <w:tcPr>
            <w:tcW w:w="6054" w:type="dxa"/>
          </w:tcPr>
          <w:p w14:paraId="70648E8B" w14:textId="02C73523" w:rsidR="006909B7" w:rsidRPr="00281DB6" w:rsidRDefault="006909B7" w:rsidP="000C0402">
            <w:pPr>
              <w:jc w:val="both"/>
              <w:rPr>
                <w:sz w:val="18"/>
                <w:szCs w:val="18"/>
              </w:rPr>
            </w:pPr>
            <w:r w:rsidRPr="00281DB6">
              <w:rPr>
                <w:sz w:val="18"/>
                <w:szCs w:val="18"/>
              </w:rPr>
              <w:t>DACs</w:t>
            </w:r>
            <w:r w:rsidRPr="006909B7">
              <w:rPr>
                <w:sz w:val="18"/>
                <w:szCs w:val="18"/>
              </w:rPr>
              <w:t xml:space="preserve"> to provide Clare Postlethwaite (by 29 Nov) with statement for Sponsors and Executive Boards on usefulness of metadata checks, and outline changes made and not made.</w:t>
            </w:r>
          </w:p>
        </w:tc>
        <w:tc>
          <w:tcPr>
            <w:tcW w:w="2358" w:type="dxa"/>
          </w:tcPr>
          <w:p w14:paraId="5CBD6933" w14:textId="77777777" w:rsidR="006909B7" w:rsidRPr="0074544E" w:rsidRDefault="006909B7" w:rsidP="000C0402">
            <w:pPr>
              <w:jc w:val="both"/>
              <w:rPr>
                <w:sz w:val="18"/>
                <w:szCs w:val="18"/>
                <w:highlight w:val="yellow"/>
              </w:rPr>
            </w:pPr>
          </w:p>
        </w:tc>
      </w:tr>
      <w:tr w:rsidR="006909B7" w:rsidRPr="0074544E" w14:paraId="2A63ADD5" w14:textId="77777777" w:rsidTr="005803C9">
        <w:tc>
          <w:tcPr>
            <w:tcW w:w="604" w:type="dxa"/>
          </w:tcPr>
          <w:p w14:paraId="7B631479" w14:textId="60E1F287" w:rsidR="006909B7" w:rsidRPr="00851AB2" w:rsidRDefault="006909B7" w:rsidP="000C0402">
            <w:pPr>
              <w:jc w:val="both"/>
              <w:rPr>
                <w:sz w:val="18"/>
                <w:szCs w:val="18"/>
              </w:rPr>
            </w:pPr>
            <w:r>
              <w:rPr>
                <w:sz w:val="18"/>
                <w:szCs w:val="18"/>
              </w:rPr>
              <w:t>7.13</w:t>
            </w:r>
          </w:p>
        </w:tc>
        <w:tc>
          <w:tcPr>
            <w:tcW w:w="6054" w:type="dxa"/>
          </w:tcPr>
          <w:p w14:paraId="23154EEF" w14:textId="238AE958" w:rsidR="006909B7" w:rsidRPr="00281DB6" w:rsidRDefault="006909B7" w:rsidP="000C0402">
            <w:pPr>
              <w:jc w:val="both"/>
              <w:rPr>
                <w:sz w:val="18"/>
                <w:szCs w:val="18"/>
              </w:rPr>
            </w:pPr>
            <w:r w:rsidRPr="00281DB6">
              <w:rPr>
                <w:sz w:val="18"/>
                <w:szCs w:val="18"/>
              </w:rPr>
              <w:t>Robin McCandliss and Charlotte Miskin-Hymas to identify where to include a statement on licenses on the MEDIN website.</w:t>
            </w:r>
          </w:p>
        </w:tc>
        <w:tc>
          <w:tcPr>
            <w:tcW w:w="2358" w:type="dxa"/>
          </w:tcPr>
          <w:p w14:paraId="0381ECBD" w14:textId="77777777" w:rsidR="006909B7" w:rsidRPr="0074544E" w:rsidRDefault="006909B7" w:rsidP="000C0402">
            <w:pPr>
              <w:jc w:val="both"/>
              <w:rPr>
                <w:sz w:val="18"/>
                <w:szCs w:val="18"/>
                <w:highlight w:val="yellow"/>
              </w:rPr>
            </w:pPr>
          </w:p>
        </w:tc>
      </w:tr>
      <w:tr w:rsidR="008646B1" w:rsidRPr="0074544E" w14:paraId="42C4E0E5" w14:textId="77777777" w:rsidTr="005F51A3">
        <w:tc>
          <w:tcPr>
            <w:tcW w:w="9016" w:type="dxa"/>
            <w:gridSpan w:val="3"/>
          </w:tcPr>
          <w:p w14:paraId="7748E6A3" w14:textId="1CE8791B" w:rsidR="008646B1" w:rsidRPr="005803C9" w:rsidRDefault="004C2810" w:rsidP="000C0402">
            <w:pPr>
              <w:jc w:val="both"/>
              <w:rPr>
                <w:sz w:val="18"/>
                <w:szCs w:val="18"/>
              </w:rPr>
            </w:pPr>
            <w:r w:rsidRPr="005803C9">
              <w:rPr>
                <w:b/>
                <w:sz w:val="18"/>
                <w:szCs w:val="18"/>
              </w:rPr>
              <w:t>Actions outstanding from earlier DAC WG meetings</w:t>
            </w:r>
          </w:p>
        </w:tc>
      </w:tr>
      <w:tr w:rsidR="005803C9" w:rsidRPr="0074544E" w14:paraId="645A78FB" w14:textId="77777777" w:rsidTr="005803C9">
        <w:tc>
          <w:tcPr>
            <w:tcW w:w="604" w:type="dxa"/>
          </w:tcPr>
          <w:p w14:paraId="20DDBB12" w14:textId="2A84139F" w:rsidR="005803C9" w:rsidRPr="005803C9" w:rsidRDefault="005803C9" w:rsidP="000C0402">
            <w:pPr>
              <w:jc w:val="both"/>
              <w:rPr>
                <w:sz w:val="18"/>
                <w:szCs w:val="18"/>
              </w:rPr>
            </w:pPr>
            <w:r w:rsidRPr="005803C9">
              <w:rPr>
                <w:sz w:val="18"/>
                <w:szCs w:val="18"/>
              </w:rPr>
              <w:t>6.1</w:t>
            </w:r>
          </w:p>
        </w:tc>
        <w:tc>
          <w:tcPr>
            <w:tcW w:w="6054" w:type="dxa"/>
          </w:tcPr>
          <w:p w14:paraId="755E601A" w14:textId="285D18D5" w:rsidR="005803C9" w:rsidRPr="00851AB2" w:rsidRDefault="005803C9" w:rsidP="000C0402">
            <w:pPr>
              <w:jc w:val="both"/>
              <w:rPr>
                <w:sz w:val="18"/>
                <w:szCs w:val="18"/>
              </w:rPr>
            </w:pPr>
            <w:r w:rsidRPr="005803C9">
              <w:rPr>
                <w:b/>
                <w:sz w:val="18"/>
                <w:szCs w:val="18"/>
              </w:rPr>
              <w:t>Clare Postlethwaite</w:t>
            </w:r>
            <w:r w:rsidRPr="005803C9">
              <w:rPr>
                <w:sz w:val="18"/>
                <w:szCs w:val="18"/>
              </w:rPr>
              <w:t xml:space="preserve"> to ensure UKDMOS/MEDIN document is made available o</w:t>
            </w:r>
            <w:r w:rsidR="00851AB2">
              <w:rPr>
                <w:sz w:val="18"/>
                <w:szCs w:val="18"/>
              </w:rPr>
              <w:t>n MEDIN website once finalised.</w:t>
            </w:r>
          </w:p>
        </w:tc>
        <w:tc>
          <w:tcPr>
            <w:tcW w:w="2358" w:type="dxa"/>
          </w:tcPr>
          <w:p w14:paraId="4099B8FC" w14:textId="4386BA7A" w:rsidR="005803C9" w:rsidRPr="005803C9" w:rsidRDefault="005803C9" w:rsidP="000C0402">
            <w:pPr>
              <w:jc w:val="both"/>
              <w:rPr>
                <w:sz w:val="18"/>
                <w:szCs w:val="18"/>
              </w:rPr>
            </w:pPr>
          </w:p>
        </w:tc>
      </w:tr>
      <w:tr w:rsidR="005803C9" w:rsidRPr="0074544E" w14:paraId="210C4B0F" w14:textId="77777777" w:rsidTr="005803C9">
        <w:tc>
          <w:tcPr>
            <w:tcW w:w="604" w:type="dxa"/>
          </w:tcPr>
          <w:p w14:paraId="7DE0226D" w14:textId="6969F041" w:rsidR="005803C9" w:rsidRPr="005803C9" w:rsidRDefault="005803C9" w:rsidP="000C0402">
            <w:pPr>
              <w:jc w:val="both"/>
              <w:rPr>
                <w:sz w:val="18"/>
                <w:szCs w:val="18"/>
              </w:rPr>
            </w:pPr>
            <w:r w:rsidRPr="005803C9">
              <w:rPr>
                <w:sz w:val="18"/>
                <w:szCs w:val="18"/>
              </w:rPr>
              <w:t>6.6</w:t>
            </w:r>
          </w:p>
        </w:tc>
        <w:tc>
          <w:tcPr>
            <w:tcW w:w="6054" w:type="dxa"/>
          </w:tcPr>
          <w:p w14:paraId="7A8EE857" w14:textId="2032D996" w:rsidR="005803C9" w:rsidRPr="005803C9" w:rsidRDefault="005803C9" w:rsidP="000C0402">
            <w:pPr>
              <w:jc w:val="both"/>
              <w:rPr>
                <w:sz w:val="18"/>
                <w:szCs w:val="18"/>
              </w:rPr>
            </w:pPr>
            <w:r w:rsidRPr="005803C9">
              <w:rPr>
                <w:b/>
                <w:sz w:val="18"/>
                <w:szCs w:val="18"/>
              </w:rPr>
              <w:t>Mary Mowat</w:t>
            </w:r>
            <w:r w:rsidRPr="005803C9">
              <w:rPr>
                <w:sz w:val="18"/>
                <w:szCs w:val="18"/>
              </w:rPr>
              <w:t xml:space="preserve"> to consult with UKHO about where resource locators in the MEDIN catalogue should point to for data that are held both at BGS and UKHO.</w:t>
            </w:r>
          </w:p>
        </w:tc>
        <w:tc>
          <w:tcPr>
            <w:tcW w:w="2358" w:type="dxa"/>
          </w:tcPr>
          <w:p w14:paraId="57743B1A" w14:textId="59D21F84" w:rsidR="005803C9" w:rsidRPr="005803C9" w:rsidRDefault="005803C9" w:rsidP="000C0402">
            <w:pPr>
              <w:jc w:val="both"/>
              <w:rPr>
                <w:sz w:val="18"/>
                <w:szCs w:val="18"/>
              </w:rPr>
            </w:pPr>
            <w:r w:rsidRPr="005803C9">
              <w:rPr>
                <w:sz w:val="18"/>
                <w:szCs w:val="18"/>
              </w:rPr>
              <w:t>Ongoing</w:t>
            </w:r>
          </w:p>
        </w:tc>
      </w:tr>
      <w:tr w:rsidR="005803C9" w:rsidRPr="0074544E" w14:paraId="5E11B8BD" w14:textId="77777777" w:rsidTr="005803C9">
        <w:tc>
          <w:tcPr>
            <w:tcW w:w="604" w:type="dxa"/>
          </w:tcPr>
          <w:p w14:paraId="696EAC04" w14:textId="3D833C9D" w:rsidR="005803C9" w:rsidRPr="005803C9" w:rsidRDefault="005803C9" w:rsidP="000C0402">
            <w:pPr>
              <w:jc w:val="both"/>
              <w:rPr>
                <w:sz w:val="18"/>
                <w:szCs w:val="18"/>
              </w:rPr>
            </w:pPr>
            <w:r w:rsidRPr="005803C9">
              <w:rPr>
                <w:sz w:val="18"/>
                <w:szCs w:val="18"/>
              </w:rPr>
              <w:t>6.13</w:t>
            </w:r>
          </w:p>
        </w:tc>
        <w:tc>
          <w:tcPr>
            <w:tcW w:w="6054" w:type="dxa"/>
          </w:tcPr>
          <w:p w14:paraId="55CA05EB" w14:textId="6EB920CF" w:rsidR="005803C9" w:rsidRPr="005803C9" w:rsidRDefault="005803C9" w:rsidP="000C0402">
            <w:pPr>
              <w:jc w:val="both"/>
              <w:rPr>
                <w:sz w:val="18"/>
                <w:szCs w:val="18"/>
              </w:rPr>
            </w:pPr>
            <w:r w:rsidRPr="005803C9">
              <w:rPr>
                <w:b/>
                <w:sz w:val="18"/>
                <w:szCs w:val="18"/>
              </w:rPr>
              <w:t xml:space="preserve">Mary Mowat </w:t>
            </w:r>
            <w:r w:rsidRPr="005803C9">
              <w:rPr>
                <w:sz w:val="18"/>
                <w:szCs w:val="18"/>
              </w:rPr>
              <w:t>and</w:t>
            </w:r>
            <w:r w:rsidRPr="005803C9">
              <w:rPr>
                <w:b/>
                <w:sz w:val="18"/>
                <w:szCs w:val="18"/>
              </w:rPr>
              <w:t xml:space="preserve"> Chelsea Bradbury</w:t>
            </w:r>
            <w:r w:rsidRPr="005803C9">
              <w:rPr>
                <w:sz w:val="18"/>
                <w:szCs w:val="18"/>
              </w:rPr>
              <w:t xml:space="preserve"> to liaise to identify data sets that are present via TCE and BGS and ensure that it does not appear in MEDIN catalogue twice.</w:t>
            </w:r>
          </w:p>
        </w:tc>
        <w:tc>
          <w:tcPr>
            <w:tcW w:w="2358" w:type="dxa"/>
          </w:tcPr>
          <w:p w14:paraId="4251FADD" w14:textId="4F2C93DE" w:rsidR="005803C9" w:rsidRPr="005803C9" w:rsidRDefault="005803C9" w:rsidP="000C0402">
            <w:pPr>
              <w:jc w:val="both"/>
              <w:rPr>
                <w:sz w:val="18"/>
                <w:szCs w:val="18"/>
              </w:rPr>
            </w:pPr>
            <w:r w:rsidRPr="005803C9">
              <w:rPr>
                <w:sz w:val="18"/>
                <w:szCs w:val="18"/>
              </w:rPr>
              <w:t>Ongoing</w:t>
            </w:r>
          </w:p>
        </w:tc>
      </w:tr>
      <w:tr w:rsidR="005803C9" w:rsidRPr="0074544E" w14:paraId="14FFB802" w14:textId="77777777" w:rsidTr="005803C9">
        <w:tc>
          <w:tcPr>
            <w:tcW w:w="604" w:type="dxa"/>
          </w:tcPr>
          <w:p w14:paraId="479BA189" w14:textId="0B6220FF" w:rsidR="005803C9" w:rsidRPr="005803C9" w:rsidRDefault="005803C9" w:rsidP="000C0402">
            <w:pPr>
              <w:jc w:val="both"/>
              <w:rPr>
                <w:sz w:val="18"/>
                <w:szCs w:val="18"/>
              </w:rPr>
            </w:pPr>
            <w:r w:rsidRPr="005803C9">
              <w:rPr>
                <w:sz w:val="18"/>
                <w:szCs w:val="18"/>
              </w:rPr>
              <w:t>5.1</w:t>
            </w:r>
          </w:p>
        </w:tc>
        <w:tc>
          <w:tcPr>
            <w:tcW w:w="6054" w:type="dxa"/>
          </w:tcPr>
          <w:p w14:paraId="3890EBDF" w14:textId="4E9886D1" w:rsidR="005803C9" w:rsidRPr="005803C9" w:rsidRDefault="005803C9" w:rsidP="000C0402">
            <w:pPr>
              <w:jc w:val="both"/>
              <w:rPr>
                <w:sz w:val="18"/>
                <w:szCs w:val="18"/>
              </w:rPr>
            </w:pPr>
            <w:r w:rsidRPr="005803C9">
              <w:rPr>
                <w:b/>
                <w:sz w:val="18"/>
                <w:szCs w:val="18"/>
              </w:rPr>
              <w:t>Clare Postlethwaite</w:t>
            </w:r>
            <w:r w:rsidRPr="005803C9">
              <w:rPr>
                <w:sz w:val="18"/>
                <w:szCs w:val="18"/>
              </w:rPr>
              <w:t xml:space="preserve"> to push Defra about archiving datasets for MSFD</w:t>
            </w:r>
          </w:p>
        </w:tc>
        <w:tc>
          <w:tcPr>
            <w:tcW w:w="2358" w:type="dxa"/>
          </w:tcPr>
          <w:p w14:paraId="2AB5A174" w14:textId="086AEFDD" w:rsidR="005803C9" w:rsidRPr="005803C9" w:rsidRDefault="005803C9" w:rsidP="000C0402">
            <w:pPr>
              <w:jc w:val="both"/>
              <w:rPr>
                <w:sz w:val="18"/>
                <w:szCs w:val="18"/>
              </w:rPr>
            </w:pPr>
            <w:r w:rsidRPr="005803C9">
              <w:rPr>
                <w:sz w:val="18"/>
                <w:szCs w:val="18"/>
              </w:rPr>
              <w:t xml:space="preserve">Ongoing. </w:t>
            </w:r>
          </w:p>
        </w:tc>
      </w:tr>
      <w:tr w:rsidR="005803C9" w:rsidRPr="0074544E" w14:paraId="02DF549A" w14:textId="77777777" w:rsidTr="005803C9">
        <w:tc>
          <w:tcPr>
            <w:tcW w:w="604" w:type="dxa"/>
          </w:tcPr>
          <w:p w14:paraId="610616F0" w14:textId="52193374" w:rsidR="005803C9" w:rsidRPr="005803C9" w:rsidRDefault="005803C9" w:rsidP="000C0402">
            <w:pPr>
              <w:jc w:val="both"/>
              <w:rPr>
                <w:sz w:val="18"/>
                <w:szCs w:val="18"/>
              </w:rPr>
            </w:pPr>
            <w:r w:rsidRPr="005803C9">
              <w:rPr>
                <w:sz w:val="18"/>
                <w:szCs w:val="18"/>
              </w:rPr>
              <w:t>5.2</w:t>
            </w:r>
          </w:p>
        </w:tc>
        <w:tc>
          <w:tcPr>
            <w:tcW w:w="6054" w:type="dxa"/>
          </w:tcPr>
          <w:p w14:paraId="41AAE20F" w14:textId="2BD7CD3F" w:rsidR="005803C9" w:rsidRPr="005803C9" w:rsidRDefault="005803C9" w:rsidP="000C0402">
            <w:pPr>
              <w:jc w:val="both"/>
              <w:rPr>
                <w:sz w:val="18"/>
                <w:szCs w:val="18"/>
              </w:rPr>
            </w:pPr>
            <w:r w:rsidRPr="005803C9">
              <w:rPr>
                <w:b/>
                <w:sz w:val="18"/>
                <w:szCs w:val="18"/>
              </w:rPr>
              <w:t>DACs</w:t>
            </w:r>
            <w:r w:rsidRPr="005803C9">
              <w:rPr>
                <w:sz w:val="18"/>
                <w:szCs w:val="18"/>
              </w:rPr>
              <w:t xml:space="preserve"> to report whether they could archive snapshots of the MSFD data sets with DOIs</w:t>
            </w:r>
          </w:p>
        </w:tc>
        <w:tc>
          <w:tcPr>
            <w:tcW w:w="2358" w:type="dxa"/>
          </w:tcPr>
          <w:p w14:paraId="53AF305D" w14:textId="10E9B724" w:rsidR="005803C9" w:rsidRPr="005803C9" w:rsidRDefault="005803C9" w:rsidP="000C0402">
            <w:pPr>
              <w:jc w:val="both"/>
              <w:rPr>
                <w:sz w:val="18"/>
                <w:szCs w:val="18"/>
              </w:rPr>
            </w:pPr>
            <w:r w:rsidRPr="005803C9">
              <w:rPr>
                <w:sz w:val="18"/>
                <w:szCs w:val="18"/>
              </w:rPr>
              <w:t>On hold. Need clarity from Data Task Group about exactly what is required.</w:t>
            </w:r>
          </w:p>
        </w:tc>
      </w:tr>
      <w:tr w:rsidR="005803C9" w:rsidRPr="0074544E" w14:paraId="46828DE9" w14:textId="77777777" w:rsidTr="005803C9">
        <w:tc>
          <w:tcPr>
            <w:tcW w:w="604" w:type="dxa"/>
          </w:tcPr>
          <w:p w14:paraId="22630F76" w14:textId="1F62528C" w:rsidR="005803C9" w:rsidRPr="005803C9" w:rsidRDefault="005803C9" w:rsidP="000C0402">
            <w:pPr>
              <w:jc w:val="both"/>
              <w:rPr>
                <w:sz w:val="18"/>
                <w:szCs w:val="18"/>
              </w:rPr>
            </w:pPr>
            <w:r w:rsidRPr="005803C9">
              <w:rPr>
                <w:sz w:val="18"/>
                <w:szCs w:val="18"/>
              </w:rPr>
              <w:t>5.3</w:t>
            </w:r>
          </w:p>
        </w:tc>
        <w:tc>
          <w:tcPr>
            <w:tcW w:w="6054" w:type="dxa"/>
          </w:tcPr>
          <w:p w14:paraId="4D54E108" w14:textId="1A0580E2" w:rsidR="005803C9" w:rsidRPr="005803C9" w:rsidRDefault="005803C9" w:rsidP="000C0402">
            <w:pPr>
              <w:jc w:val="both"/>
              <w:rPr>
                <w:sz w:val="18"/>
                <w:szCs w:val="18"/>
              </w:rPr>
            </w:pPr>
            <w:r w:rsidRPr="005803C9">
              <w:rPr>
                <w:sz w:val="18"/>
                <w:szCs w:val="18"/>
              </w:rPr>
              <w:t xml:space="preserve">Add re-accreditation timetable to web-site; </w:t>
            </w:r>
            <w:r w:rsidRPr="005803C9">
              <w:rPr>
                <w:b/>
                <w:sz w:val="18"/>
                <w:szCs w:val="18"/>
              </w:rPr>
              <w:t>Lesley</w:t>
            </w:r>
            <w:r w:rsidRPr="005803C9">
              <w:rPr>
                <w:sz w:val="18"/>
                <w:szCs w:val="18"/>
              </w:rPr>
              <w:t xml:space="preserve"> to pass to </w:t>
            </w:r>
            <w:r w:rsidRPr="005803C9">
              <w:rPr>
                <w:b/>
                <w:sz w:val="18"/>
                <w:szCs w:val="18"/>
              </w:rPr>
              <w:t>Charlotte</w:t>
            </w:r>
          </w:p>
        </w:tc>
        <w:tc>
          <w:tcPr>
            <w:tcW w:w="2358" w:type="dxa"/>
          </w:tcPr>
          <w:p w14:paraId="4C49CE77" w14:textId="602E152C" w:rsidR="005803C9" w:rsidRPr="005803C9" w:rsidRDefault="005803C9" w:rsidP="000C0402">
            <w:pPr>
              <w:jc w:val="both"/>
              <w:rPr>
                <w:sz w:val="18"/>
                <w:szCs w:val="18"/>
              </w:rPr>
            </w:pPr>
            <w:r w:rsidRPr="005803C9">
              <w:rPr>
                <w:sz w:val="18"/>
                <w:szCs w:val="18"/>
              </w:rPr>
              <w:t xml:space="preserve">Ongoing. </w:t>
            </w:r>
          </w:p>
        </w:tc>
      </w:tr>
      <w:tr w:rsidR="005803C9" w:rsidRPr="0074544E" w14:paraId="042B14E6" w14:textId="77777777" w:rsidTr="005803C9">
        <w:tc>
          <w:tcPr>
            <w:tcW w:w="604" w:type="dxa"/>
          </w:tcPr>
          <w:p w14:paraId="26D2AA48" w14:textId="291BF60C" w:rsidR="005803C9" w:rsidRPr="005803C9" w:rsidRDefault="005803C9" w:rsidP="000C0402">
            <w:pPr>
              <w:jc w:val="both"/>
              <w:rPr>
                <w:sz w:val="18"/>
                <w:szCs w:val="18"/>
              </w:rPr>
            </w:pPr>
            <w:r w:rsidRPr="005803C9">
              <w:rPr>
                <w:sz w:val="18"/>
                <w:szCs w:val="18"/>
              </w:rPr>
              <w:t>4.1</w:t>
            </w:r>
          </w:p>
        </w:tc>
        <w:tc>
          <w:tcPr>
            <w:tcW w:w="6054" w:type="dxa"/>
          </w:tcPr>
          <w:p w14:paraId="30BAF3F1" w14:textId="77777777" w:rsidR="005803C9" w:rsidRPr="005803C9" w:rsidRDefault="005803C9" w:rsidP="000C0402">
            <w:pPr>
              <w:jc w:val="both"/>
              <w:rPr>
                <w:sz w:val="18"/>
                <w:szCs w:val="18"/>
              </w:rPr>
            </w:pPr>
            <w:r w:rsidRPr="005803C9">
              <w:rPr>
                <w:b/>
                <w:sz w:val="18"/>
                <w:szCs w:val="18"/>
              </w:rPr>
              <w:t>Clare Postlethwaite</w:t>
            </w:r>
            <w:r w:rsidRPr="005803C9">
              <w:rPr>
                <w:sz w:val="18"/>
                <w:szCs w:val="18"/>
              </w:rPr>
              <w:t xml:space="preserve"> to make the Archive data URL field mandatory in UKDMOS.</w:t>
            </w:r>
          </w:p>
          <w:p w14:paraId="7ADB5F53" w14:textId="0F2D2644" w:rsidR="005803C9" w:rsidRPr="005803C9" w:rsidRDefault="005803C9" w:rsidP="000C0402">
            <w:pPr>
              <w:jc w:val="both"/>
              <w:rPr>
                <w:sz w:val="18"/>
                <w:szCs w:val="18"/>
              </w:rPr>
            </w:pPr>
            <w:r w:rsidRPr="005803C9">
              <w:rPr>
                <w:i/>
                <w:sz w:val="18"/>
                <w:szCs w:val="18"/>
              </w:rPr>
              <w:t>As of 11/10/16 14/276 have real time URL, 76 have archive URLs. This will be checked again following content update.</w:t>
            </w:r>
          </w:p>
        </w:tc>
        <w:tc>
          <w:tcPr>
            <w:tcW w:w="2358" w:type="dxa"/>
          </w:tcPr>
          <w:p w14:paraId="4CE4E4D1" w14:textId="5221BDA4" w:rsidR="005803C9" w:rsidRPr="005803C9" w:rsidRDefault="005803C9" w:rsidP="000C0402">
            <w:pPr>
              <w:jc w:val="both"/>
              <w:rPr>
                <w:sz w:val="18"/>
                <w:szCs w:val="18"/>
              </w:rPr>
            </w:pPr>
            <w:r w:rsidRPr="005803C9">
              <w:rPr>
                <w:sz w:val="18"/>
                <w:szCs w:val="18"/>
              </w:rPr>
              <w:t>In progress</w:t>
            </w:r>
          </w:p>
        </w:tc>
      </w:tr>
      <w:tr w:rsidR="005803C9" w:rsidRPr="0074544E" w14:paraId="7241C134" w14:textId="77777777" w:rsidTr="005803C9">
        <w:tc>
          <w:tcPr>
            <w:tcW w:w="604" w:type="dxa"/>
          </w:tcPr>
          <w:p w14:paraId="5C0437EB" w14:textId="3409526E" w:rsidR="005803C9" w:rsidRPr="005803C9" w:rsidRDefault="005803C9" w:rsidP="000C0402">
            <w:pPr>
              <w:jc w:val="both"/>
              <w:rPr>
                <w:sz w:val="18"/>
                <w:szCs w:val="18"/>
              </w:rPr>
            </w:pPr>
            <w:r w:rsidRPr="005803C9">
              <w:rPr>
                <w:sz w:val="18"/>
                <w:szCs w:val="18"/>
              </w:rPr>
              <w:t>3.1</w:t>
            </w:r>
          </w:p>
        </w:tc>
        <w:tc>
          <w:tcPr>
            <w:tcW w:w="6054" w:type="dxa"/>
          </w:tcPr>
          <w:p w14:paraId="28E220D1" w14:textId="64AC1229" w:rsidR="005803C9" w:rsidRPr="005803C9" w:rsidRDefault="005803C9" w:rsidP="000C0402">
            <w:pPr>
              <w:jc w:val="both"/>
              <w:rPr>
                <w:sz w:val="18"/>
                <w:szCs w:val="18"/>
              </w:rPr>
            </w:pPr>
            <w:r w:rsidRPr="005803C9">
              <w:rPr>
                <w:sz w:val="18"/>
                <w:szCs w:val="18"/>
              </w:rPr>
              <w:t>Following Clare/Lesley review,</w:t>
            </w:r>
            <w:r w:rsidRPr="005803C9">
              <w:rPr>
                <w:b/>
                <w:sz w:val="18"/>
                <w:szCs w:val="18"/>
              </w:rPr>
              <w:t xml:space="preserve"> </w:t>
            </w:r>
            <w:r w:rsidRPr="005803C9">
              <w:rPr>
                <w:sz w:val="18"/>
                <w:szCs w:val="18"/>
              </w:rPr>
              <w:t>send a template to DACs that lists UKDMOS monitoring programmes; DACs to check list and identify the programmes where DACs should be/are publishing and where other services are publishing.</w:t>
            </w:r>
          </w:p>
        </w:tc>
        <w:tc>
          <w:tcPr>
            <w:tcW w:w="2358" w:type="dxa"/>
          </w:tcPr>
          <w:p w14:paraId="0611C1BA" w14:textId="3841A4AF" w:rsidR="005803C9" w:rsidRPr="005803C9" w:rsidRDefault="005803C9" w:rsidP="000C0402">
            <w:pPr>
              <w:jc w:val="both"/>
              <w:rPr>
                <w:sz w:val="18"/>
                <w:szCs w:val="18"/>
              </w:rPr>
            </w:pPr>
            <w:r w:rsidRPr="005803C9">
              <w:rPr>
                <w:sz w:val="18"/>
                <w:szCs w:val="18"/>
              </w:rPr>
              <w:t>Ongoing. Needs LR to check list.</w:t>
            </w:r>
          </w:p>
        </w:tc>
      </w:tr>
      <w:tr w:rsidR="005803C9" w:rsidRPr="0074544E" w14:paraId="603B2BDB" w14:textId="77777777" w:rsidTr="005803C9">
        <w:tc>
          <w:tcPr>
            <w:tcW w:w="604" w:type="dxa"/>
          </w:tcPr>
          <w:p w14:paraId="5970EDE2" w14:textId="495795BB" w:rsidR="005803C9" w:rsidRPr="005803C9" w:rsidRDefault="005803C9" w:rsidP="000C0402">
            <w:pPr>
              <w:jc w:val="both"/>
              <w:rPr>
                <w:sz w:val="18"/>
                <w:szCs w:val="18"/>
              </w:rPr>
            </w:pPr>
            <w:r w:rsidRPr="005803C9">
              <w:rPr>
                <w:sz w:val="18"/>
                <w:szCs w:val="18"/>
              </w:rPr>
              <w:t>3.8</w:t>
            </w:r>
          </w:p>
        </w:tc>
        <w:tc>
          <w:tcPr>
            <w:tcW w:w="6054" w:type="dxa"/>
          </w:tcPr>
          <w:p w14:paraId="5C62E9E4" w14:textId="4017FDB3" w:rsidR="005803C9" w:rsidRPr="005803C9" w:rsidRDefault="005803C9" w:rsidP="000C0402">
            <w:pPr>
              <w:jc w:val="both"/>
              <w:rPr>
                <w:sz w:val="18"/>
                <w:szCs w:val="18"/>
              </w:rPr>
            </w:pPr>
            <w:r w:rsidRPr="005803C9">
              <w:rPr>
                <w:sz w:val="18"/>
                <w:szCs w:val="18"/>
              </w:rPr>
              <w:t>DACs provide input to Hannah Williams to indicating which INSPIRE themes are applicable to their data to include on MEDIN website.</w:t>
            </w:r>
          </w:p>
        </w:tc>
        <w:tc>
          <w:tcPr>
            <w:tcW w:w="2358" w:type="dxa"/>
          </w:tcPr>
          <w:p w14:paraId="59B3C28B" w14:textId="736CA2E7" w:rsidR="005803C9" w:rsidRPr="005803C9" w:rsidRDefault="005803C9" w:rsidP="000C0402">
            <w:pPr>
              <w:jc w:val="both"/>
              <w:rPr>
                <w:sz w:val="18"/>
                <w:szCs w:val="18"/>
              </w:rPr>
            </w:pPr>
            <w:r w:rsidRPr="005803C9">
              <w:rPr>
                <w:sz w:val="18"/>
                <w:szCs w:val="18"/>
              </w:rPr>
              <w:t>Ongoing. HES, UKHO, Met office and BODC have provided info.</w:t>
            </w:r>
          </w:p>
        </w:tc>
      </w:tr>
      <w:tr w:rsidR="005803C9" w:rsidRPr="0074544E" w14:paraId="3920A5CB" w14:textId="77777777" w:rsidTr="005803C9">
        <w:tc>
          <w:tcPr>
            <w:tcW w:w="604" w:type="dxa"/>
          </w:tcPr>
          <w:p w14:paraId="7B226140" w14:textId="4C6B78E1" w:rsidR="005803C9" w:rsidRPr="005803C9" w:rsidRDefault="005803C9" w:rsidP="000C0402">
            <w:pPr>
              <w:jc w:val="both"/>
              <w:rPr>
                <w:sz w:val="18"/>
                <w:szCs w:val="18"/>
              </w:rPr>
            </w:pPr>
            <w:r w:rsidRPr="005803C9">
              <w:rPr>
                <w:sz w:val="18"/>
                <w:szCs w:val="18"/>
              </w:rPr>
              <w:t>2.13</w:t>
            </w:r>
          </w:p>
        </w:tc>
        <w:tc>
          <w:tcPr>
            <w:tcW w:w="6054" w:type="dxa"/>
          </w:tcPr>
          <w:p w14:paraId="70F9BD39" w14:textId="52092561" w:rsidR="005803C9" w:rsidRPr="005803C9" w:rsidRDefault="005803C9" w:rsidP="000C0402">
            <w:pPr>
              <w:jc w:val="both"/>
              <w:rPr>
                <w:sz w:val="18"/>
                <w:szCs w:val="18"/>
              </w:rPr>
            </w:pPr>
            <w:r w:rsidRPr="005803C9">
              <w:rPr>
                <w:sz w:val="18"/>
                <w:szCs w:val="18"/>
              </w:rPr>
              <w:t>Hannah to request 4 images from each DAC and give information on the format required. Then to mock up some pages and circulate them before the next meeting.</w:t>
            </w:r>
          </w:p>
        </w:tc>
        <w:tc>
          <w:tcPr>
            <w:tcW w:w="2358" w:type="dxa"/>
          </w:tcPr>
          <w:p w14:paraId="37DD1FFB" w14:textId="2BE62779" w:rsidR="005803C9" w:rsidRPr="005803C9" w:rsidRDefault="005803C9" w:rsidP="000C0402">
            <w:pPr>
              <w:jc w:val="both"/>
              <w:rPr>
                <w:sz w:val="18"/>
                <w:szCs w:val="18"/>
              </w:rPr>
            </w:pPr>
            <w:r w:rsidRPr="005803C9">
              <w:rPr>
                <w:sz w:val="18"/>
                <w:szCs w:val="18"/>
              </w:rPr>
              <w:t>Ongoing – Charlotte is looking at the refresh of the website.</w:t>
            </w:r>
          </w:p>
        </w:tc>
      </w:tr>
      <w:tr w:rsidR="005803C9" w:rsidRPr="0074544E" w14:paraId="78178910" w14:textId="77777777" w:rsidTr="005803C9">
        <w:tc>
          <w:tcPr>
            <w:tcW w:w="604" w:type="dxa"/>
          </w:tcPr>
          <w:p w14:paraId="4501721E" w14:textId="4CBD4C33" w:rsidR="005803C9" w:rsidRPr="005803C9" w:rsidRDefault="005803C9" w:rsidP="000C0402">
            <w:pPr>
              <w:jc w:val="both"/>
              <w:rPr>
                <w:sz w:val="18"/>
                <w:szCs w:val="18"/>
              </w:rPr>
            </w:pPr>
            <w:r w:rsidRPr="005803C9">
              <w:rPr>
                <w:sz w:val="18"/>
                <w:szCs w:val="18"/>
              </w:rPr>
              <w:t>2.15</w:t>
            </w:r>
          </w:p>
        </w:tc>
        <w:tc>
          <w:tcPr>
            <w:tcW w:w="6054" w:type="dxa"/>
          </w:tcPr>
          <w:p w14:paraId="6383C38F" w14:textId="15212024" w:rsidR="005803C9" w:rsidRPr="005803C9" w:rsidRDefault="005803C9" w:rsidP="000C0402">
            <w:pPr>
              <w:jc w:val="both"/>
              <w:rPr>
                <w:sz w:val="18"/>
                <w:szCs w:val="18"/>
              </w:rPr>
            </w:pPr>
            <w:r w:rsidRPr="005803C9">
              <w:rPr>
                <w:sz w:val="18"/>
                <w:szCs w:val="18"/>
              </w:rPr>
              <w:t>Clare to arrange an autumn workshop in Scotland with MPA organisations to ensure suitable data management plans are in place. Should involve BGS, DASSH, JNCC, SNH, Marine Scotland, Natural England and any other DACs that are interested.</w:t>
            </w:r>
          </w:p>
        </w:tc>
        <w:tc>
          <w:tcPr>
            <w:tcW w:w="2358" w:type="dxa"/>
          </w:tcPr>
          <w:p w14:paraId="50F23CE9" w14:textId="3EF638F7" w:rsidR="005803C9" w:rsidRPr="005803C9" w:rsidRDefault="005803C9" w:rsidP="000C0402">
            <w:pPr>
              <w:jc w:val="both"/>
              <w:rPr>
                <w:sz w:val="18"/>
                <w:szCs w:val="18"/>
              </w:rPr>
            </w:pPr>
            <w:r w:rsidRPr="005803C9">
              <w:rPr>
                <w:sz w:val="18"/>
                <w:szCs w:val="18"/>
              </w:rPr>
              <w:t xml:space="preserve">In progress – a meeting date is being arranged. </w:t>
            </w:r>
          </w:p>
        </w:tc>
      </w:tr>
      <w:tr w:rsidR="005803C9" w:rsidRPr="004C2810" w14:paraId="54CBAF19" w14:textId="77777777" w:rsidTr="005803C9">
        <w:tc>
          <w:tcPr>
            <w:tcW w:w="604" w:type="dxa"/>
          </w:tcPr>
          <w:p w14:paraId="7246484A" w14:textId="0A998043" w:rsidR="005803C9" w:rsidRPr="005803C9" w:rsidRDefault="005803C9" w:rsidP="000C0402">
            <w:pPr>
              <w:jc w:val="both"/>
              <w:rPr>
                <w:sz w:val="18"/>
                <w:szCs w:val="18"/>
              </w:rPr>
            </w:pPr>
            <w:r w:rsidRPr="005803C9">
              <w:rPr>
                <w:sz w:val="18"/>
                <w:szCs w:val="18"/>
              </w:rPr>
              <w:t>2.18</w:t>
            </w:r>
          </w:p>
        </w:tc>
        <w:tc>
          <w:tcPr>
            <w:tcW w:w="6054" w:type="dxa"/>
          </w:tcPr>
          <w:p w14:paraId="3DDA4F0D" w14:textId="77777777" w:rsidR="005803C9" w:rsidRPr="005803C9" w:rsidRDefault="005803C9" w:rsidP="000C0402">
            <w:pPr>
              <w:jc w:val="both"/>
              <w:rPr>
                <w:sz w:val="18"/>
                <w:szCs w:val="18"/>
              </w:rPr>
            </w:pPr>
            <w:r w:rsidRPr="005803C9">
              <w:rPr>
                <w:sz w:val="18"/>
                <w:szCs w:val="18"/>
              </w:rPr>
              <w:t>Clare to speak to JNCC about possibility of them becoming a Bird DAC.</w:t>
            </w:r>
          </w:p>
          <w:p w14:paraId="0D503845" w14:textId="7B176ED9" w:rsidR="005803C9" w:rsidRPr="005803C9" w:rsidRDefault="005803C9" w:rsidP="000C0402">
            <w:pPr>
              <w:jc w:val="both"/>
              <w:rPr>
                <w:sz w:val="18"/>
                <w:szCs w:val="18"/>
              </w:rPr>
            </w:pPr>
            <w:r w:rsidRPr="005803C9">
              <w:rPr>
                <w:i/>
                <w:sz w:val="18"/>
                <w:szCs w:val="18"/>
              </w:rPr>
              <w:t>No further progress. Concentrating on litter and noise in 2016/17.</w:t>
            </w:r>
          </w:p>
        </w:tc>
        <w:tc>
          <w:tcPr>
            <w:tcW w:w="2358" w:type="dxa"/>
          </w:tcPr>
          <w:p w14:paraId="598B6C6E" w14:textId="22089985" w:rsidR="005803C9" w:rsidRPr="005803C9" w:rsidRDefault="005803C9" w:rsidP="000C0402">
            <w:pPr>
              <w:jc w:val="both"/>
              <w:rPr>
                <w:sz w:val="18"/>
                <w:szCs w:val="18"/>
              </w:rPr>
            </w:pPr>
            <w:r w:rsidRPr="005803C9">
              <w:rPr>
                <w:sz w:val="18"/>
                <w:szCs w:val="18"/>
              </w:rPr>
              <w:t xml:space="preserve">On hold. </w:t>
            </w:r>
          </w:p>
        </w:tc>
      </w:tr>
    </w:tbl>
    <w:p w14:paraId="3A113302" w14:textId="77777777" w:rsidR="0040461E" w:rsidRDefault="0040461E" w:rsidP="000C0402">
      <w:pPr>
        <w:spacing w:after="0" w:line="240" w:lineRule="auto"/>
        <w:jc w:val="both"/>
        <w:rPr>
          <w:b/>
        </w:rPr>
      </w:pPr>
    </w:p>
    <w:sectPr w:rsidR="0040461E" w:rsidSect="002D2FA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BB3D8" w14:textId="77777777" w:rsidR="00EC7EAE" w:rsidRDefault="00EC7EAE" w:rsidP="00F705FB">
      <w:pPr>
        <w:spacing w:after="0" w:line="240" w:lineRule="auto"/>
      </w:pPr>
      <w:r>
        <w:separator/>
      </w:r>
    </w:p>
  </w:endnote>
  <w:endnote w:type="continuationSeparator" w:id="0">
    <w:p w14:paraId="4AB9BC0E" w14:textId="77777777" w:rsidR="00EC7EAE" w:rsidRDefault="00EC7EAE" w:rsidP="00F7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03B42" w14:textId="77777777" w:rsidR="00EC7EAE" w:rsidRDefault="00EC7EAE" w:rsidP="00F705FB">
      <w:pPr>
        <w:spacing w:after="0" w:line="240" w:lineRule="auto"/>
      </w:pPr>
      <w:r>
        <w:separator/>
      </w:r>
    </w:p>
  </w:footnote>
  <w:footnote w:type="continuationSeparator" w:id="0">
    <w:p w14:paraId="7EF6875B" w14:textId="77777777" w:rsidR="00EC7EAE" w:rsidRDefault="00EC7EAE" w:rsidP="00F7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C5FD" w14:textId="77777777" w:rsidR="00EC7EAE" w:rsidRDefault="00EC7EAE" w:rsidP="00F705FB">
    <w:pPr>
      <w:spacing w:before="100" w:beforeAutospacing="1" w:after="100" w:afterAutospacing="1"/>
      <w:contextualSpacing/>
      <w:jc w:val="center"/>
      <w:rPr>
        <w:b/>
        <w:sz w:val="20"/>
      </w:rPr>
    </w:pPr>
    <w:r w:rsidRPr="00F705FB">
      <w:rPr>
        <w:noProof/>
        <w:lang w:eastAsia="en-GB"/>
      </w:rPr>
      <w:drawing>
        <wp:inline distT="0" distB="0" distL="0" distR="0" wp14:anchorId="17C6931D" wp14:editId="38067CAD">
          <wp:extent cx="1614805" cy="534670"/>
          <wp:effectExtent l="19050" t="0" r="4445" b="0"/>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a:srcRect/>
                  <a:stretch>
                    <a:fillRect/>
                  </a:stretch>
                </pic:blipFill>
                <pic:spPr bwMode="auto">
                  <a:xfrm>
                    <a:off x="0" y="0"/>
                    <a:ext cx="1614805" cy="53467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264"/>
    <w:multiLevelType w:val="hybridMultilevel"/>
    <w:tmpl w:val="AB3461DE"/>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4EA2785"/>
    <w:multiLevelType w:val="hybridMultilevel"/>
    <w:tmpl w:val="90A2150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E96F52"/>
    <w:multiLevelType w:val="hybridMultilevel"/>
    <w:tmpl w:val="FC444D3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 w15:restartNumberingAfterBreak="0">
    <w:nsid w:val="115B0587"/>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15:restartNumberingAfterBreak="0">
    <w:nsid w:val="141B7A73"/>
    <w:multiLevelType w:val="hybridMultilevel"/>
    <w:tmpl w:val="AAE48F18"/>
    <w:lvl w:ilvl="0" w:tplc="A94A1F22">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1512177E"/>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15396485"/>
    <w:multiLevelType w:val="hybridMultilevel"/>
    <w:tmpl w:val="082C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D579A"/>
    <w:multiLevelType w:val="hybridMultilevel"/>
    <w:tmpl w:val="0082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E48AA"/>
    <w:multiLevelType w:val="hybridMultilevel"/>
    <w:tmpl w:val="BB76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41771"/>
    <w:multiLevelType w:val="hybridMultilevel"/>
    <w:tmpl w:val="DBF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764E9"/>
    <w:multiLevelType w:val="multilevel"/>
    <w:tmpl w:val="4C167476"/>
    <w:lvl w:ilvl="0">
      <w:start w:val="4"/>
      <w:numFmt w:val="decimal"/>
      <w:lvlText w:val="%1."/>
      <w:lvlJc w:val="left"/>
      <w:pPr>
        <w:ind w:left="360" w:hanging="360"/>
      </w:pPr>
      <w:rPr>
        <w:rFonts w:hint="default"/>
      </w:rPr>
    </w:lvl>
    <w:lvl w:ilvl="1">
      <w:start w:val="1"/>
      <w:numFmt w:val="decimal"/>
      <w:lvlText w:val="%1.%2)"/>
      <w:lvlJc w:val="left"/>
      <w:pPr>
        <w:ind w:left="723" w:hanging="360"/>
      </w:pPr>
      <w:rPr>
        <w:rFonts w:hint="default"/>
        <w:b/>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1" w15:restartNumberingAfterBreak="0">
    <w:nsid w:val="21A72DA1"/>
    <w:multiLevelType w:val="hybridMultilevel"/>
    <w:tmpl w:val="892A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C6A84"/>
    <w:multiLevelType w:val="hybridMultilevel"/>
    <w:tmpl w:val="4AE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D52BC"/>
    <w:multiLevelType w:val="hybridMultilevel"/>
    <w:tmpl w:val="6B9A862C"/>
    <w:lvl w:ilvl="0" w:tplc="8260387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DA756E"/>
    <w:multiLevelType w:val="hybridMultilevel"/>
    <w:tmpl w:val="9B98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F13B2"/>
    <w:multiLevelType w:val="hybridMultilevel"/>
    <w:tmpl w:val="A96A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B55B6"/>
    <w:multiLevelType w:val="hybridMultilevel"/>
    <w:tmpl w:val="C1C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D0762E"/>
    <w:multiLevelType w:val="hybridMultilevel"/>
    <w:tmpl w:val="708AE8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9A31E6"/>
    <w:multiLevelType w:val="hybridMultilevel"/>
    <w:tmpl w:val="F910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2405A"/>
    <w:multiLevelType w:val="hybridMultilevel"/>
    <w:tmpl w:val="29502C9E"/>
    <w:lvl w:ilvl="0" w:tplc="281E71F4">
      <w:start w:val="1"/>
      <w:numFmt w:val="lowerRoman"/>
      <w:lvlText w:val="%1)"/>
      <w:lvlJc w:val="left"/>
      <w:pPr>
        <w:ind w:left="1083" w:hanging="72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0" w15:restartNumberingAfterBreak="0">
    <w:nsid w:val="3AE81A2B"/>
    <w:multiLevelType w:val="hybridMultilevel"/>
    <w:tmpl w:val="286287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ECE3472"/>
    <w:multiLevelType w:val="hybridMultilevel"/>
    <w:tmpl w:val="53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D7228"/>
    <w:multiLevelType w:val="hybridMultilevel"/>
    <w:tmpl w:val="8E1A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AE7335"/>
    <w:multiLevelType w:val="hybridMultilevel"/>
    <w:tmpl w:val="2C04DD7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02D6FB3"/>
    <w:multiLevelType w:val="hybridMultilevel"/>
    <w:tmpl w:val="F7E49AC4"/>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5" w15:restartNumberingAfterBreak="0">
    <w:nsid w:val="6A4765B3"/>
    <w:multiLevelType w:val="hybridMultilevel"/>
    <w:tmpl w:val="BE06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59439F"/>
    <w:multiLevelType w:val="hybridMultilevel"/>
    <w:tmpl w:val="AB62798C"/>
    <w:lvl w:ilvl="0" w:tplc="E7903C9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AC1C5D"/>
    <w:multiLevelType w:val="hybridMultilevel"/>
    <w:tmpl w:val="BA1EAC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5E2408"/>
    <w:multiLevelType w:val="hybridMultilevel"/>
    <w:tmpl w:val="063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B53450"/>
    <w:multiLevelType w:val="hybridMultilevel"/>
    <w:tmpl w:val="34E0C11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num w:numId="1">
    <w:abstractNumId w:val="4"/>
  </w:num>
  <w:num w:numId="2">
    <w:abstractNumId w:val="27"/>
  </w:num>
  <w:num w:numId="3">
    <w:abstractNumId w:val="17"/>
  </w:num>
  <w:num w:numId="4">
    <w:abstractNumId w:val="13"/>
  </w:num>
  <w:num w:numId="5">
    <w:abstractNumId w:val="1"/>
  </w:num>
  <w:num w:numId="6">
    <w:abstractNumId w:val="19"/>
  </w:num>
  <w:num w:numId="7">
    <w:abstractNumId w:val="10"/>
  </w:num>
  <w:num w:numId="8">
    <w:abstractNumId w:val="29"/>
  </w:num>
  <w:num w:numId="9">
    <w:abstractNumId w:val="0"/>
  </w:num>
  <w:num w:numId="10">
    <w:abstractNumId w:val="24"/>
  </w:num>
  <w:num w:numId="11">
    <w:abstractNumId w:val="25"/>
  </w:num>
  <w:num w:numId="12">
    <w:abstractNumId w:val="22"/>
  </w:num>
  <w:num w:numId="13">
    <w:abstractNumId w:val="21"/>
  </w:num>
  <w:num w:numId="14">
    <w:abstractNumId w:val="11"/>
  </w:num>
  <w:num w:numId="15">
    <w:abstractNumId w:val="5"/>
  </w:num>
  <w:num w:numId="16">
    <w:abstractNumId w:val="3"/>
  </w:num>
  <w:num w:numId="17">
    <w:abstractNumId w:val="2"/>
  </w:num>
  <w:num w:numId="18">
    <w:abstractNumId w:val="26"/>
  </w:num>
  <w:num w:numId="19">
    <w:abstractNumId w:val="23"/>
  </w:num>
  <w:num w:numId="20">
    <w:abstractNumId w:val="20"/>
  </w:num>
  <w:num w:numId="21">
    <w:abstractNumId w:val="16"/>
  </w:num>
  <w:num w:numId="22">
    <w:abstractNumId w:val="18"/>
  </w:num>
  <w:num w:numId="23">
    <w:abstractNumId w:val="7"/>
  </w:num>
  <w:num w:numId="24">
    <w:abstractNumId w:val="14"/>
  </w:num>
  <w:num w:numId="25">
    <w:abstractNumId w:val="6"/>
  </w:num>
  <w:num w:numId="26">
    <w:abstractNumId w:val="12"/>
  </w:num>
  <w:num w:numId="27">
    <w:abstractNumId w:val="8"/>
  </w:num>
  <w:num w:numId="28">
    <w:abstractNumId w:val="28"/>
  </w:num>
  <w:num w:numId="29">
    <w:abstractNumId w:val="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ED"/>
    <w:rsid w:val="000019B3"/>
    <w:rsid w:val="00004815"/>
    <w:rsid w:val="00012BB6"/>
    <w:rsid w:val="00012D41"/>
    <w:rsid w:val="00012FDF"/>
    <w:rsid w:val="00013B25"/>
    <w:rsid w:val="00017B70"/>
    <w:rsid w:val="00023A93"/>
    <w:rsid w:val="000279ED"/>
    <w:rsid w:val="00032734"/>
    <w:rsid w:val="00050B22"/>
    <w:rsid w:val="00055C60"/>
    <w:rsid w:val="00060599"/>
    <w:rsid w:val="00070424"/>
    <w:rsid w:val="00071F98"/>
    <w:rsid w:val="00090540"/>
    <w:rsid w:val="000B2EEB"/>
    <w:rsid w:val="000C0402"/>
    <w:rsid w:val="000C1463"/>
    <w:rsid w:val="000C1BCD"/>
    <w:rsid w:val="000D544F"/>
    <w:rsid w:val="000E1FDC"/>
    <w:rsid w:val="000E57DD"/>
    <w:rsid w:val="000E670A"/>
    <w:rsid w:val="000F044B"/>
    <w:rsid w:val="001008FF"/>
    <w:rsid w:val="00100AF0"/>
    <w:rsid w:val="00101EE8"/>
    <w:rsid w:val="00104F06"/>
    <w:rsid w:val="00115929"/>
    <w:rsid w:val="00120B00"/>
    <w:rsid w:val="00134363"/>
    <w:rsid w:val="001629FB"/>
    <w:rsid w:val="00164106"/>
    <w:rsid w:val="0016748D"/>
    <w:rsid w:val="00175350"/>
    <w:rsid w:val="001778F9"/>
    <w:rsid w:val="00181438"/>
    <w:rsid w:val="00182BC0"/>
    <w:rsid w:val="0018410F"/>
    <w:rsid w:val="00186755"/>
    <w:rsid w:val="00191202"/>
    <w:rsid w:val="001B1F82"/>
    <w:rsid w:val="001B230C"/>
    <w:rsid w:val="001C1308"/>
    <w:rsid w:val="001C22A2"/>
    <w:rsid w:val="001C6C28"/>
    <w:rsid w:val="001C7874"/>
    <w:rsid w:val="001E5217"/>
    <w:rsid w:val="001F1E1C"/>
    <w:rsid w:val="001F3B8F"/>
    <w:rsid w:val="00203C41"/>
    <w:rsid w:val="00206A51"/>
    <w:rsid w:val="00210F1F"/>
    <w:rsid w:val="00216610"/>
    <w:rsid w:val="0023045B"/>
    <w:rsid w:val="00230CBC"/>
    <w:rsid w:val="00234A3B"/>
    <w:rsid w:val="002409AB"/>
    <w:rsid w:val="00240C09"/>
    <w:rsid w:val="0024196E"/>
    <w:rsid w:val="00243A58"/>
    <w:rsid w:val="00252B98"/>
    <w:rsid w:val="002631EB"/>
    <w:rsid w:val="00271FBD"/>
    <w:rsid w:val="0027627D"/>
    <w:rsid w:val="002801EC"/>
    <w:rsid w:val="00281DB6"/>
    <w:rsid w:val="002939F6"/>
    <w:rsid w:val="00295BF2"/>
    <w:rsid w:val="002A4B7B"/>
    <w:rsid w:val="002B6959"/>
    <w:rsid w:val="002B69F5"/>
    <w:rsid w:val="002B7CA2"/>
    <w:rsid w:val="002C587E"/>
    <w:rsid w:val="002C6C2C"/>
    <w:rsid w:val="002C7A76"/>
    <w:rsid w:val="002D2FA3"/>
    <w:rsid w:val="002D375D"/>
    <w:rsid w:val="002E24B6"/>
    <w:rsid w:val="002E3962"/>
    <w:rsid w:val="002E6E4D"/>
    <w:rsid w:val="002F1C79"/>
    <w:rsid w:val="00304A08"/>
    <w:rsid w:val="00320192"/>
    <w:rsid w:val="00333866"/>
    <w:rsid w:val="003475E8"/>
    <w:rsid w:val="0036262C"/>
    <w:rsid w:val="00371CD6"/>
    <w:rsid w:val="00377EEE"/>
    <w:rsid w:val="00381D50"/>
    <w:rsid w:val="003937C4"/>
    <w:rsid w:val="003A5417"/>
    <w:rsid w:val="003B4AED"/>
    <w:rsid w:val="003B699C"/>
    <w:rsid w:val="003C3BEA"/>
    <w:rsid w:val="003D23E3"/>
    <w:rsid w:val="003D45D8"/>
    <w:rsid w:val="003D5083"/>
    <w:rsid w:val="003E661B"/>
    <w:rsid w:val="003F09C6"/>
    <w:rsid w:val="003F14A1"/>
    <w:rsid w:val="003F1907"/>
    <w:rsid w:val="00402EE2"/>
    <w:rsid w:val="0040461E"/>
    <w:rsid w:val="00413FE3"/>
    <w:rsid w:val="00442792"/>
    <w:rsid w:val="0045182D"/>
    <w:rsid w:val="004609E8"/>
    <w:rsid w:val="00463740"/>
    <w:rsid w:val="00475C38"/>
    <w:rsid w:val="00481E42"/>
    <w:rsid w:val="00490451"/>
    <w:rsid w:val="004B38F5"/>
    <w:rsid w:val="004B59C2"/>
    <w:rsid w:val="004B6EAD"/>
    <w:rsid w:val="004C2810"/>
    <w:rsid w:val="004C6F21"/>
    <w:rsid w:val="004E0E78"/>
    <w:rsid w:val="004E6C82"/>
    <w:rsid w:val="004E786B"/>
    <w:rsid w:val="004F0CBC"/>
    <w:rsid w:val="004F615E"/>
    <w:rsid w:val="00501540"/>
    <w:rsid w:val="00506FE9"/>
    <w:rsid w:val="00537297"/>
    <w:rsid w:val="00540B9A"/>
    <w:rsid w:val="00553FE4"/>
    <w:rsid w:val="0056566F"/>
    <w:rsid w:val="00565953"/>
    <w:rsid w:val="00576DA0"/>
    <w:rsid w:val="005803C9"/>
    <w:rsid w:val="00584046"/>
    <w:rsid w:val="00594E7E"/>
    <w:rsid w:val="00597249"/>
    <w:rsid w:val="005A7C3B"/>
    <w:rsid w:val="005B173A"/>
    <w:rsid w:val="005B3EAD"/>
    <w:rsid w:val="005E474E"/>
    <w:rsid w:val="005F0D0D"/>
    <w:rsid w:val="005F51A3"/>
    <w:rsid w:val="005F5A6B"/>
    <w:rsid w:val="005F5B1E"/>
    <w:rsid w:val="005F63CB"/>
    <w:rsid w:val="00610530"/>
    <w:rsid w:val="00611551"/>
    <w:rsid w:val="00614D8D"/>
    <w:rsid w:val="006151BB"/>
    <w:rsid w:val="0061754E"/>
    <w:rsid w:val="0062356A"/>
    <w:rsid w:val="00627BEE"/>
    <w:rsid w:val="00632DAA"/>
    <w:rsid w:val="0063491C"/>
    <w:rsid w:val="00661D6D"/>
    <w:rsid w:val="00670445"/>
    <w:rsid w:val="0067122D"/>
    <w:rsid w:val="006736D6"/>
    <w:rsid w:val="006761F0"/>
    <w:rsid w:val="00676C9B"/>
    <w:rsid w:val="00677069"/>
    <w:rsid w:val="006879D5"/>
    <w:rsid w:val="006909B7"/>
    <w:rsid w:val="006A5DDB"/>
    <w:rsid w:val="006B7EBB"/>
    <w:rsid w:val="006C26F5"/>
    <w:rsid w:val="006C441F"/>
    <w:rsid w:val="006D4B52"/>
    <w:rsid w:val="006E0CA5"/>
    <w:rsid w:val="006E4C8D"/>
    <w:rsid w:val="006E61E3"/>
    <w:rsid w:val="006F20D6"/>
    <w:rsid w:val="006F34CC"/>
    <w:rsid w:val="00715F94"/>
    <w:rsid w:val="00717073"/>
    <w:rsid w:val="00733DBB"/>
    <w:rsid w:val="007348DC"/>
    <w:rsid w:val="0074267B"/>
    <w:rsid w:val="007428ED"/>
    <w:rsid w:val="0074544E"/>
    <w:rsid w:val="00751A2A"/>
    <w:rsid w:val="00762B9C"/>
    <w:rsid w:val="00765515"/>
    <w:rsid w:val="007758CC"/>
    <w:rsid w:val="00780873"/>
    <w:rsid w:val="0079502D"/>
    <w:rsid w:val="00795B36"/>
    <w:rsid w:val="007A1213"/>
    <w:rsid w:val="007A464A"/>
    <w:rsid w:val="007B1E76"/>
    <w:rsid w:val="007C14BE"/>
    <w:rsid w:val="007D0B4B"/>
    <w:rsid w:val="007D3DB8"/>
    <w:rsid w:val="007E1FAC"/>
    <w:rsid w:val="007E3CE3"/>
    <w:rsid w:val="007E4977"/>
    <w:rsid w:val="007F70D0"/>
    <w:rsid w:val="00800C1F"/>
    <w:rsid w:val="0081408C"/>
    <w:rsid w:val="0081433A"/>
    <w:rsid w:val="00814D4B"/>
    <w:rsid w:val="00823CBD"/>
    <w:rsid w:val="008251B1"/>
    <w:rsid w:val="00835610"/>
    <w:rsid w:val="00840DD7"/>
    <w:rsid w:val="00844243"/>
    <w:rsid w:val="00851AB2"/>
    <w:rsid w:val="008579E1"/>
    <w:rsid w:val="00864278"/>
    <w:rsid w:val="008646B1"/>
    <w:rsid w:val="008728FF"/>
    <w:rsid w:val="0087732D"/>
    <w:rsid w:val="00894EB9"/>
    <w:rsid w:val="008A59CD"/>
    <w:rsid w:val="008B224C"/>
    <w:rsid w:val="008B3BF3"/>
    <w:rsid w:val="008B559E"/>
    <w:rsid w:val="008B6FEC"/>
    <w:rsid w:val="008C5E1E"/>
    <w:rsid w:val="008C622B"/>
    <w:rsid w:val="008D06A9"/>
    <w:rsid w:val="008D324C"/>
    <w:rsid w:val="008E5B86"/>
    <w:rsid w:val="008F06D7"/>
    <w:rsid w:val="008F5CA4"/>
    <w:rsid w:val="008F655C"/>
    <w:rsid w:val="00904E17"/>
    <w:rsid w:val="009077B9"/>
    <w:rsid w:val="00912C62"/>
    <w:rsid w:val="00914E83"/>
    <w:rsid w:val="009259CD"/>
    <w:rsid w:val="00926A8F"/>
    <w:rsid w:val="009402DA"/>
    <w:rsid w:val="00951E67"/>
    <w:rsid w:val="009665AF"/>
    <w:rsid w:val="00970627"/>
    <w:rsid w:val="00985769"/>
    <w:rsid w:val="00986060"/>
    <w:rsid w:val="0098679D"/>
    <w:rsid w:val="009867C5"/>
    <w:rsid w:val="00993230"/>
    <w:rsid w:val="009955BF"/>
    <w:rsid w:val="009978BB"/>
    <w:rsid w:val="009A424F"/>
    <w:rsid w:val="009A436B"/>
    <w:rsid w:val="009B42A3"/>
    <w:rsid w:val="009E1F37"/>
    <w:rsid w:val="00A176CC"/>
    <w:rsid w:val="00A24FA4"/>
    <w:rsid w:val="00A31368"/>
    <w:rsid w:val="00A37665"/>
    <w:rsid w:val="00A42EA0"/>
    <w:rsid w:val="00A44A23"/>
    <w:rsid w:val="00A451DE"/>
    <w:rsid w:val="00A522B1"/>
    <w:rsid w:val="00A53195"/>
    <w:rsid w:val="00A549C9"/>
    <w:rsid w:val="00A55DAC"/>
    <w:rsid w:val="00A63D1A"/>
    <w:rsid w:val="00A64D58"/>
    <w:rsid w:val="00A75C0D"/>
    <w:rsid w:val="00A861F8"/>
    <w:rsid w:val="00A90048"/>
    <w:rsid w:val="00A924EA"/>
    <w:rsid w:val="00AA2696"/>
    <w:rsid w:val="00AA793E"/>
    <w:rsid w:val="00AB1167"/>
    <w:rsid w:val="00AD2EA9"/>
    <w:rsid w:val="00AE111A"/>
    <w:rsid w:val="00AE29BE"/>
    <w:rsid w:val="00AE7BCA"/>
    <w:rsid w:val="00AF3E12"/>
    <w:rsid w:val="00AF4F92"/>
    <w:rsid w:val="00B03E8D"/>
    <w:rsid w:val="00B10C33"/>
    <w:rsid w:val="00B135AD"/>
    <w:rsid w:val="00B15F36"/>
    <w:rsid w:val="00B41725"/>
    <w:rsid w:val="00B41D45"/>
    <w:rsid w:val="00B44E44"/>
    <w:rsid w:val="00B52458"/>
    <w:rsid w:val="00B6098A"/>
    <w:rsid w:val="00B648F9"/>
    <w:rsid w:val="00B70787"/>
    <w:rsid w:val="00B74719"/>
    <w:rsid w:val="00B82BEB"/>
    <w:rsid w:val="00B866D8"/>
    <w:rsid w:val="00B8702C"/>
    <w:rsid w:val="00BA2DCE"/>
    <w:rsid w:val="00BC6962"/>
    <w:rsid w:val="00BC7127"/>
    <w:rsid w:val="00BD145D"/>
    <w:rsid w:val="00BD4034"/>
    <w:rsid w:val="00BE62AB"/>
    <w:rsid w:val="00BE665B"/>
    <w:rsid w:val="00BF1B22"/>
    <w:rsid w:val="00BF49BA"/>
    <w:rsid w:val="00C0240B"/>
    <w:rsid w:val="00C10863"/>
    <w:rsid w:val="00C15F9A"/>
    <w:rsid w:val="00C25B4B"/>
    <w:rsid w:val="00C42A46"/>
    <w:rsid w:val="00C42BC8"/>
    <w:rsid w:val="00C43CBE"/>
    <w:rsid w:val="00C454B4"/>
    <w:rsid w:val="00C61F51"/>
    <w:rsid w:val="00C74AC0"/>
    <w:rsid w:val="00C83885"/>
    <w:rsid w:val="00C86FA6"/>
    <w:rsid w:val="00C94DFE"/>
    <w:rsid w:val="00CA627A"/>
    <w:rsid w:val="00CB1B7E"/>
    <w:rsid w:val="00CC1C95"/>
    <w:rsid w:val="00CD06DA"/>
    <w:rsid w:val="00CD4E02"/>
    <w:rsid w:val="00CD5476"/>
    <w:rsid w:val="00D04255"/>
    <w:rsid w:val="00D05729"/>
    <w:rsid w:val="00D0765E"/>
    <w:rsid w:val="00D312E1"/>
    <w:rsid w:val="00D33E19"/>
    <w:rsid w:val="00D426CF"/>
    <w:rsid w:val="00D4583C"/>
    <w:rsid w:val="00D54BD0"/>
    <w:rsid w:val="00D725C3"/>
    <w:rsid w:val="00D74785"/>
    <w:rsid w:val="00D74831"/>
    <w:rsid w:val="00D774E8"/>
    <w:rsid w:val="00D8302C"/>
    <w:rsid w:val="00D84D1C"/>
    <w:rsid w:val="00DA05CA"/>
    <w:rsid w:val="00DB4B9E"/>
    <w:rsid w:val="00DB7C6E"/>
    <w:rsid w:val="00DC4D82"/>
    <w:rsid w:val="00DC6729"/>
    <w:rsid w:val="00DD35E4"/>
    <w:rsid w:val="00DD36FC"/>
    <w:rsid w:val="00DE01BE"/>
    <w:rsid w:val="00DE5CD3"/>
    <w:rsid w:val="00DE6C4F"/>
    <w:rsid w:val="00DF2BBB"/>
    <w:rsid w:val="00DF760B"/>
    <w:rsid w:val="00E04628"/>
    <w:rsid w:val="00E04BF2"/>
    <w:rsid w:val="00E14378"/>
    <w:rsid w:val="00E14FB2"/>
    <w:rsid w:val="00E173FD"/>
    <w:rsid w:val="00E34723"/>
    <w:rsid w:val="00E56B5D"/>
    <w:rsid w:val="00E673A7"/>
    <w:rsid w:val="00E70A31"/>
    <w:rsid w:val="00E72C55"/>
    <w:rsid w:val="00E81283"/>
    <w:rsid w:val="00E82CAB"/>
    <w:rsid w:val="00E84A3E"/>
    <w:rsid w:val="00E86237"/>
    <w:rsid w:val="00E926F2"/>
    <w:rsid w:val="00E97111"/>
    <w:rsid w:val="00EA28E3"/>
    <w:rsid w:val="00EA32BA"/>
    <w:rsid w:val="00EA4DA2"/>
    <w:rsid w:val="00EB1EF8"/>
    <w:rsid w:val="00EB334A"/>
    <w:rsid w:val="00EB536B"/>
    <w:rsid w:val="00EB7DB8"/>
    <w:rsid w:val="00EC7EAE"/>
    <w:rsid w:val="00EE219C"/>
    <w:rsid w:val="00EE408C"/>
    <w:rsid w:val="00EF1014"/>
    <w:rsid w:val="00EF178B"/>
    <w:rsid w:val="00F021C6"/>
    <w:rsid w:val="00F124A1"/>
    <w:rsid w:val="00F208DD"/>
    <w:rsid w:val="00F20D84"/>
    <w:rsid w:val="00F31DEF"/>
    <w:rsid w:val="00F32645"/>
    <w:rsid w:val="00F43D24"/>
    <w:rsid w:val="00F5218E"/>
    <w:rsid w:val="00F56058"/>
    <w:rsid w:val="00F605A5"/>
    <w:rsid w:val="00F65512"/>
    <w:rsid w:val="00F705FB"/>
    <w:rsid w:val="00F75AB7"/>
    <w:rsid w:val="00F8311E"/>
    <w:rsid w:val="00F83188"/>
    <w:rsid w:val="00F9007B"/>
    <w:rsid w:val="00F93D44"/>
    <w:rsid w:val="00FA43CB"/>
    <w:rsid w:val="00FA65F6"/>
    <w:rsid w:val="00FA7260"/>
    <w:rsid w:val="00FB0B17"/>
    <w:rsid w:val="00FD3320"/>
    <w:rsid w:val="00FD74BD"/>
    <w:rsid w:val="00FE1AE2"/>
    <w:rsid w:val="00FE2096"/>
    <w:rsid w:val="00FE664A"/>
    <w:rsid w:val="00FF4EAE"/>
    <w:rsid w:val="00FF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6D21"/>
  <w15:docId w15:val="{C4624452-11B2-4F89-854D-3AB569C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ED"/>
    <w:pPr>
      <w:ind w:left="720"/>
      <w:contextualSpacing/>
    </w:pPr>
  </w:style>
  <w:style w:type="paragraph" w:styleId="Header">
    <w:name w:val="header"/>
    <w:basedOn w:val="Normal"/>
    <w:link w:val="HeaderChar"/>
    <w:uiPriority w:val="99"/>
    <w:unhideWhenUsed/>
    <w:rsid w:val="00F7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5FB"/>
  </w:style>
  <w:style w:type="paragraph" w:styleId="Footer">
    <w:name w:val="footer"/>
    <w:basedOn w:val="Normal"/>
    <w:link w:val="FooterChar"/>
    <w:uiPriority w:val="99"/>
    <w:unhideWhenUsed/>
    <w:rsid w:val="00F7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5FB"/>
  </w:style>
  <w:style w:type="paragraph" w:styleId="BalloonText">
    <w:name w:val="Balloon Text"/>
    <w:basedOn w:val="Normal"/>
    <w:link w:val="BalloonTextChar"/>
    <w:uiPriority w:val="99"/>
    <w:semiHidden/>
    <w:unhideWhenUsed/>
    <w:rsid w:val="00F7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FB"/>
    <w:rPr>
      <w:rFonts w:ascii="Tahoma" w:hAnsi="Tahoma" w:cs="Tahoma"/>
      <w:sz w:val="16"/>
      <w:szCs w:val="16"/>
    </w:rPr>
  </w:style>
  <w:style w:type="paragraph" w:styleId="Title">
    <w:name w:val="Title"/>
    <w:basedOn w:val="Normal"/>
    <w:next w:val="Normal"/>
    <w:link w:val="TitleChar"/>
    <w:uiPriority w:val="10"/>
    <w:qFormat/>
    <w:rsid w:val="00F705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5F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6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02C"/>
    <w:rPr>
      <w:sz w:val="16"/>
      <w:szCs w:val="16"/>
    </w:rPr>
  </w:style>
  <w:style w:type="paragraph" w:styleId="CommentText">
    <w:name w:val="annotation text"/>
    <w:basedOn w:val="Normal"/>
    <w:link w:val="CommentTextChar"/>
    <w:uiPriority w:val="99"/>
    <w:semiHidden/>
    <w:unhideWhenUsed/>
    <w:rsid w:val="00D8302C"/>
    <w:pPr>
      <w:spacing w:line="240" w:lineRule="auto"/>
    </w:pPr>
    <w:rPr>
      <w:sz w:val="20"/>
      <w:szCs w:val="20"/>
    </w:rPr>
  </w:style>
  <w:style w:type="character" w:customStyle="1" w:styleId="CommentTextChar">
    <w:name w:val="Comment Text Char"/>
    <w:basedOn w:val="DefaultParagraphFont"/>
    <w:link w:val="CommentText"/>
    <w:uiPriority w:val="99"/>
    <w:semiHidden/>
    <w:rsid w:val="00D8302C"/>
    <w:rPr>
      <w:sz w:val="20"/>
      <w:szCs w:val="20"/>
    </w:rPr>
  </w:style>
  <w:style w:type="paragraph" w:styleId="CommentSubject">
    <w:name w:val="annotation subject"/>
    <w:basedOn w:val="CommentText"/>
    <w:next w:val="CommentText"/>
    <w:link w:val="CommentSubjectChar"/>
    <w:uiPriority w:val="99"/>
    <w:semiHidden/>
    <w:unhideWhenUsed/>
    <w:rsid w:val="00D8302C"/>
    <w:rPr>
      <w:b/>
      <w:bCs/>
    </w:rPr>
  </w:style>
  <w:style w:type="character" w:customStyle="1" w:styleId="CommentSubjectChar">
    <w:name w:val="Comment Subject Char"/>
    <w:basedOn w:val="CommentTextChar"/>
    <w:link w:val="CommentSubject"/>
    <w:uiPriority w:val="99"/>
    <w:semiHidden/>
    <w:rsid w:val="00D8302C"/>
    <w:rPr>
      <w:b/>
      <w:bCs/>
      <w:sz w:val="20"/>
      <w:szCs w:val="20"/>
    </w:rPr>
  </w:style>
  <w:style w:type="character" w:styleId="Hyperlink">
    <w:name w:val="Hyperlink"/>
    <w:basedOn w:val="DefaultParagraphFont"/>
    <w:unhideWhenUsed/>
    <w:rsid w:val="00E17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681">
      <w:bodyDiv w:val="1"/>
      <w:marLeft w:val="0"/>
      <w:marRight w:val="0"/>
      <w:marTop w:val="0"/>
      <w:marBottom w:val="0"/>
      <w:divBdr>
        <w:top w:val="none" w:sz="0" w:space="0" w:color="auto"/>
        <w:left w:val="none" w:sz="0" w:space="0" w:color="auto"/>
        <w:bottom w:val="none" w:sz="0" w:space="0" w:color="auto"/>
        <w:right w:val="none" w:sz="0" w:space="0" w:color="auto"/>
      </w:divBdr>
    </w:div>
    <w:div w:id="352730631">
      <w:bodyDiv w:val="1"/>
      <w:marLeft w:val="0"/>
      <w:marRight w:val="0"/>
      <w:marTop w:val="0"/>
      <w:marBottom w:val="0"/>
      <w:divBdr>
        <w:top w:val="none" w:sz="0" w:space="0" w:color="auto"/>
        <w:left w:val="none" w:sz="0" w:space="0" w:color="auto"/>
        <w:bottom w:val="none" w:sz="0" w:space="0" w:color="auto"/>
        <w:right w:val="none" w:sz="0" w:space="0" w:color="auto"/>
      </w:divBdr>
    </w:div>
    <w:div w:id="398065914">
      <w:bodyDiv w:val="1"/>
      <w:marLeft w:val="0"/>
      <w:marRight w:val="0"/>
      <w:marTop w:val="0"/>
      <w:marBottom w:val="0"/>
      <w:divBdr>
        <w:top w:val="none" w:sz="0" w:space="0" w:color="auto"/>
        <w:left w:val="none" w:sz="0" w:space="0" w:color="auto"/>
        <w:bottom w:val="none" w:sz="0" w:space="0" w:color="auto"/>
        <w:right w:val="none" w:sz="0" w:space="0" w:color="auto"/>
      </w:divBdr>
    </w:div>
    <w:div w:id="1187404718">
      <w:bodyDiv w:val="1"/>
      <w:marLeft w:val="0"/>
      <w:marRight w:val="0"/>
      <w:marTop w:val="0"/>
      <w:marBottom w:val="0"/>
      <w:divBdr>
        <w:top w:val="none" w:sz="0" w:space="0" w:color="auto"/>
        <w:left w:val="none" w:sz="0" w:space="0" w:color="auto"/>
        <w:bottom w:val="none" w:sz="0" w:space="0" w:color="auto"/>
        <w:right w:val="none" w:sz="0" w:space="0" w:color="auto"/>
      </w:divBdr>
    </w:div>
    <w:div w:id="1220247017">
      <w:bodyDiv w:val="1"/>
      <w:marLeft w:val="0"/>
      <w:marRight w:val="0"/>
      <w:marTop w:val="0"/>
      <w:marBottom w:val="0"/>
      <w:divBdr>
        <w:top w:val="none" w:sz="0" w:space="0" w:color="auto"/>
        <w:left w:val="none" w:sz="0" w:space="0" w:color="auto"/>
        <w:bottom w:val="none" w:sz="0" w:space="0" w:color="auto"/>
        <w:right w:val="none" w:sz="0" w:space="0" w:color="auto"/>
      </w:divBdr>
    </w:div>
    <w:div w:id="1227455526">
      <w:bodyDiv w:val="1"/>
      <w:marLeft w:val="0"/>
      <w:marRight w:val="0"/>
      <w:marTop w:val="0"/>
      <w:marBottom w:val="0"/>
      <w:divBdr>
        <w:top w:val="none" w:sz="0" w:space="0" w:color="auto"/>
        <w:left w:val="none" w:sz="0" w:space="0" w:color="auto"/>
        <w:bottom w:val="none" w:sz="0" w:space="0" w:color="auto"/>
        <w:right w:val="none" w:sz="0" w:space="0" w:color="auto"/>
      </w:divBdr>
    </w:div>
    <w:div w:id="1376469538">
      <w:bodyDiv w:val="1"/>
      <w:marLeft w:val="0"/>
      <w:marRight w:val="0"/>
      <w:marTop w:val="0"/>
      <w:marBottom w:val="0"/>
      <w:divBdr>
        <w:top w:val="none" w:sz="0" w:space="0" w:color="auto"/>
        <w:left w:val="none" w:sz="0" w:space="0" w:color="auto"/>
        <w:bottom w:val="none" w:sz="0" w:space="0" w:color="auto"/>
        <w:right w:val="none" w:sz="0" w:space="0" w:color="auto"/>
      </w:divBdr>
    </w:div>
    <w:div w:id="1572933497">
      <w:bodyDiv w:val="1"/>
      <w:marLeft w:val="0"/>
      <w:marRight w:val="0"/>
      <w:marTop w:val="0"/>
      <w:marBottom w:val="0"/>
      <w:divBdr>
        <w:top w:val="none" w:sz="0" w:space="0" w:color="auto"/>
        <w:left w:val="none" w:sz="0" w:space="0" w:color="auto"/>
        <w:bottom w:val="none" w:sz="0" w:space="0" w:color="auto"/>
        <w:right w:val="none" w:sz="0" w:space="0" w:color="auto"/>
      </w:divBdr>
    </w:div>
    <w:div w:id="1584341140">
      <w:bodyDiv w:val="1"/>
      <w:marLeft w:val="0"/>
      <w:marRight w:val="0"/>
      <w:marTop w:val="0"/>
      <w:marBottom w:val="0"/>
      <w:divBdr>
        <w:top w:val="none" w:sz="0" w:space="0" w:color="auto"/>
        <w:left w:val="none" w:sz="0" w:space="0" w:color="auto"/>
        <w:bottom w:val="none" w:sz="0" w:space="0" w:color="auto"/>
        <w:right w:val="none" w:sz="0" w:space="0" w:color="auto"/>
      </w:divBdr>
    </w:div>
    <w:div w:id="1622220442">
      <w:bodyDiv w:val="1"/>
      <w:marLeft w:val="0"/>
      <w:marRight w:val="0"/>
      <w:marTop w:val="0"/>
      <w:marBottom w:val="0"/>
      <w:divBdr>
        <w:top w:val="none" w:sz="0" w:space="0" w:color="auto"/>
        <w:left w:val="none" w:sz="0" w:space="0" w:color="auto"/>
        <w:bottom w:val="none" w:sz="0" w:space="0" w:color="auto"/>
        <w:right w:val="none" w:sz="0" w:space="0" w:color="auto"/>
      </w:divBdr>
    </w:div>
    <w:div w:id="1622304206">
      <w:bodyDiv w:val="1"/>
      <w:marLeft w:val="0"/>
      <w:marRight w:val="0"/>
      <w:marTop w:val="0"/>
      <w:marBottom w:val="0"/>
      <w:divBdr>
        <w:top w:val="none" w:sz="0" w:space="0" w:color="auto"/>
        <w:left w:val="none" w:sz="0" w:space="0" w:color="auto"/>
        <w:bottom w:val="none" w:sz="0" w:space="0" w:color="auto"/>
        <w:right w:val="none" w:sz="0" w:space="0" w:color="auto"/>
      </w:divBdr>
    </w:div>
    <w:div w:id="19447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retrustse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cfpo</dc:creator>
  <cp:lastModifiedBy>McCandliss, Robin R.</cp:lastModifiedBy>
  <cp:revision>4</cp:revision>
  <cp:lastPrinted>2017-12-07T10:21:00Z</cp:lastPrinted>
  <dcterms:created xsi:type="dcterms:W3CDTF">2017-12-07T16:34:00Z</dcterms:created>
  <dcterms:modified xsi:type="dcterms:W3CDTF">2017-12-07T16:40:00Z</dcterms:modified>
</cp:coreProperties>
</file>