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48F8C" w14:textId="77777777" w:rsidR="006303B7" w:rsidRPr="00D73A14" w:rsidRDefault="006303B7" w:rsidP="006303B7">
      <w:pPr>
        <w:jc w:val="center"/>
        <w:rPr>
          <w:rFonts w:ascii="Arial" w:hAnsi="Arial"/>
          <w:b/>
          <w:sz w:val="28"/>
        </w:rPr>
      </w:pPr>
      <w:bookmarkStart w:id="0" w:name="_GoBack"/>
      <w:bookmarkEnd w:id="0"/>
    </w:p>
    <w:p w14:paraId="28F662F9" w14:textId="77777777" w:rsidR="0027055F" w:rsidRDefault="00DF52E3" w:rsidP="00DF52E3">
      <w:pPr>
        <w:pStyle w:val="Heading1"/>
        <w:rPr>
          <w:rFonts w:asciiTheme="minorHAnsi" w:hAnsiTheme="minorHAnsi"/>
          <w:sz w:val="22"/>
          <w:szCs w:val="22"/>
        </w:rPr>
      </w:pPr>
      <w:bookmarkStart w:id="1" w:name="_Toc178503466"/>
      <w:proofErr w:type="gramStart"/>
      <w:r>
        <w:t>2.Work</w:t>
      </w:r>
      <w:proofErr w:type="gramEnd"/>
      <w:r>
        <w:t xml:space="preserve"> Stream Progress</w:t>
      </w:r>
    </w:p>
    <w:p w14:paraId="0F3FAF65" w14:textId="77777777" w:rsidR="00DF52E3" w:rsidRDefault="00DF52E3" w:rsidP="00F7692E">
      <w:pPr>
        <w:pStyle w:val="Heading6"/>
        <w:numPr>
          <w:ilvl w:val="1"/>
          <w:numId w:val="15"/>
        </w:numPr>
      </w:pPr>
      <w:r>
        <w:t>WS1 Network of Data Archive Centres</w:t>
      </w:r>
    </w:p>
    <w:p w14:paraId="19386D5E" w14:textId="4EC754FA" w:rsidR="00E748D0" w:rsidRDefault="00E748D0" w:rsidP="00E748D0">
      <w:pPr>
        <w:rPr>
          <w:rFonts w:ascii="Arial" w:hAnsi="Arial" w:cs="Arial"/>
          <w:b/>
        </w:rPr>
      </w:pPr>
      <w:r>
        <w:rPr>
          <w:rFonts w:ascii="Arial" w:hAnsi="Arial"/>
          <w:b/>
          <w:snapToGrid w:val="0"/>
        </w:rPr>
        <w:t xml:space="preserve">Deliverables Table </w:t>
      </w:r>
      <w:r w:rsidR="006625EA" w:rsidRPr="006625EA">
        <w:rPr>
          <w:rFonts w:ascii="Arial" w:hAnsi="Arial" w:cs="Arial"/>
          <w:b/>
        </w:rPr>
        <w:t>2017-18</w:t>
      </w:r>
    </w:p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3484"/>
        <w:gridCol w:w="6"/>
        <w:gridCol w:w="1221"/>
        <w:gridCol w:w="6"/>
        <w:gridCol w:w="3576"/>
      </w:tblGrid>
      <w:tr w:rsidR="00D93627" w:rsidRPr="00A81DB1" w14:paraId="3241F756" w14:textId="77777777" w:rsidTr="00DB0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gridSpan w:val="2"/>
            <w:hideMark/>
          </w:tcPr>
          <w:p w14:paraId="404DAF46" w14:textId="77777777" w:rsidR="00D93627" w:rsidRPr="007B2D5D" w:rsidRDefault="00D93627" w:rsidP="00DB054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  <w:r w:rsidRPr="007B2D5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Q1 Deliverables</w:t>
            </w:r>
          </w:p>
        </w:tc>
        <w:tc>
          <w:tcPr>
            <w:tcW w:w="1227" w:type="dxa"/>
            <w:gridSpan w:val="2"/>
            <w:hideMark/>
          </w:tcPr>
          <w:p w14:paraId="7F49F19C" w14:textId="77777777" w:rsidR="00D93627" w:rsidRPr="007B2D5D" w:rsidRDefault="00D93627" w:rsidP="00DB054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  <w:r w:rsidRPr="007B2D5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Status</w:t>
            </w:r>
          </w:p>
        </w:tc>
        <w:tc>
          <w:tcPr>
            <w:tcW w:w="3576" w:type="dxa"/>
            <w:hideMark/>
          </w:tcPr>
          <w:p w14:paraId="52C6DE10" w14:textId="77777777" w:rsidR="00D93627" w:rsidRPr="007B2D5D" w:rsidRDefault="00D93627" w:rsidP="00DB054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  <w:r w:rsidRPr="007B2D5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Commentary</w:t>
            </w:r>
          </w:p>
        </w:tc>
      </w:tr>
      <w:tr w:rsidR="00E05086" w:rsidRPr="00A81DB1" w14:paraId="782D881E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gridSpan w:val="2"/>
          </w:tcPr>
          <w:p w14:paraId="27BA6AD2" w14:textId="77777777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DAC Annual Reports (2016-17) according to pro-forma (KT1.4)</w:t>
            </w:r>
          </w:p>
        </w:tc>
        <w:tc>
          <w:tcPr>
            <w:tcW w:w="1227" w:type="dxa"/>
            <w:gridSpan w:val="2"/>
          </w:tcPr>
          <w:p w14:paraId="35A0C631" w14:textId="100E7014" w:rsidR="00E05086" w:rsidRPr="00C9792D" w:rsidRDefault="001131ED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Completed</w:t>
            </w:r>
          </w:p>
        </w:tc>
        <w:tc>
          <w:tcPr>
            <w:tcW w:w="3576" w:type="dxa"/>
          </w:tcPr>
          <w:p w14:paraId="73E01FB6" w14:textId="4877B417" w:rsidR="00E05086" w:rsidRPr="00C9792D" w:rsidRDefault="00E05086" w:rsidP="001131ED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Reports received from all DACs</w:t>
            </w:r>
            <w:r w:rsidR="001131ED"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. O</w:t>
            </w: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verall DAC annual report</w:t>
            </w:r>
            <w:r w:rsidR="001131ED"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complete</w:t>
            </w: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.</w:t>
            </w:r>
          </w:p>
        </w:tc>
      </w:tr>
      <w:tr w:rsidR="00E05086" w:rsidRPr="00A81DB1" w14:paraId="1A86ACFC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gridSpan w:val="2"/>
          </w:tcPr>
          <w:p w14:paraId="05CBE29C" w14:textId="77777777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DAC working group meeting</w:t>
            </w:r>
          </w:p>
        </w:tc>
        <w:tc>
          <w:tcPr>
            <w:tcW w:w="1227" w:type="dxa"/>
            <w:gridSpan w:val="2"/>
          </w:tcPr>
          <w:p w14:paraId="79C129F3" w14:textId="20F2E6BA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Completed</w:t>
            </w:r>
          </w:p>
        </w:tc>
        <w:tc>
          <w:tcPr>
            <w:tcW w:w="3576" w:type="dxa"/>
          </w:tcPr>
          <w:p w14:paraId="027340B9" w14:textId="218A20D3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Held 15</w:t>
            </w: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  <w:vertAlign w:val="superscript"/>
              </w:rPr>
              <w:t>th</w:t>
            </w: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June.</w:t>
            </w:r>
          </w:p>
        </w:tc>
      </w:tr>
      <w:tr w:rsidR="00E05086" w:rsidRPr="00A81DB1" w14:paraId="26160C7B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gridSpan w:val="2"/>
          </w:tcPr>
          <w:p w14:paraId="3BA706BB" w14:textId="77777777" w:rsidR="00E05086" w:rsidRPr="00C9792D" w:rsidRDefault="00E05086" w:rsidP="00E05086">
            <w:pPr>
              <w:rPr>
                <w:rFonts w:cs="Calibri"/>
                <w:i/>
                <w:iCs/>
                <w:snapToGrid w:val="0"/>
                <w:sz w:val="20"/>
                <w:szCs w:val="20"/>
              </w:rPr>
            </w:pPr>
            <w:r w:rsidRPr="00C9792D">
              <w:rPr>
                <w:bCs w:val="0"/>
                <w:i/>
                <w:sz w:val="20"/>
                <w:szCs w:val="20"/>
              </w:rPr>
              <w:t>Briefing document for MEDIN exec on the archive of data from TCE renewables round 3</w:t>
            </w:r>
          </w:p>
        </w:tc>
        <w:tc>
          <w:tcPr>
            <w:tcW w:w="1227" w:type="dxa"/>
            <w:gridSpan w:val="2"/>
          </w:tcPr>
          <w:p w14:paraId="11BA13D8" w14:textId="4B19FB6B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No longer applicable</w:t>
            </w:r>
          </w:p>
        </w:tc>
        <w:tc>
          <w:tcPr>
            <w:tcW w:w="3576" w:type="dxa"/>
          </w:tcPr>
          <w:p w14:paraId="2A980C21" w14:textId="3ECF1DA0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TCE has decided there is no longer a need to archive data with the DACs as it is planning to continue to use MDE.</w:t>
            </w:r>
          </w:p>
        </w:tc>
      </w:tr>
      <w:tr w:rsidR="00E05086" w:rsidRPr="00A81DB1" w14:paraId="739E0D17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gridSpan w:val="2"/>
          </w:tcPr>
          <w:p w14:paraId="36E990E4" w14:textId="77777777" w:rsidR="00E05086" w:rsidRPr="00C9792D" w:rsidRDefault="00E05086" w:rsidP="00E05086">
            <w:pPr>
              <w:rPr>
                <w:rFonts w:cs="Calibri"/>
                <w:i/>
                <w:iCs/>
                <w:snapToGrid w:val="0"/>
                <w:sz w:val="20"/>
                <w:szCs w:val="20"/>
                <w:vertAlign w:val="superscript"/>
              </w:rPr>
            </w:pPr>
            <w:r w:rsidRPr="00C9792D">
              <w:rPr>
                <w:bCs w:val="0"/>
                <w:i/>
                <w:sz w:val="20"/>
                <w:szCs w:val="20"/>
              </w:rPr>
              <w:t>Provide MEDIN metadata quality feedback to DACs (with WS3) via DAC meeting and shared document</w:t>
            </w:r>
          </w:p>
        </w:tc>
        <w:tc>
          <w:tcPr>
            <w:tcW w:w="1227" w:type="dxa"/>
            <w:gridSpan w:val="2"/>
          </w:tcPr>
          <w:p w14:paraId="39685C3C" w14:textId="01DFFBA7" w:rsidR="00E05086" w:rsidRPr="00C9792D" w:rsidRDefault="001131ED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Completed</w:t>
            </w:r>
          </w:p>
        </w:tc>
        <w:tc>
          <w:tcPr>
            <w:tcW w:w="3576" w:type="dxa"/>
          </w:tcPr>
          <w:p w14:paraId="73A748BA" w14:textId="18B6EF2E" w:rsidR="00E05086" w:rsidRPr="00C9792D" w:rsidRDefault="00E05086" w:rsidP="001131ED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Quality check completed. General feedback at DAC WG meeting 15</w:t>
            </w:r>
            <w:r w:rsidRPr="00C9792D">
              <w:rPr>
                <w:rFonts w:asciiTheme="minorHAnsi" w:hAnsiTheme="minorHAnsi"/>
                <w:color w:val="auto"/>
                <w:sz w:val="20"/>
                <w:szCs w:val="20"/>
                <w:vertAlign w:val="superscript"/>
              </w:rPr>
              <w:t>th</w:t>
            </w: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June. DAC-specific detailed feedback follow</w:t>
            </w:r>
            <w:r w:rsidR="001131ED" w:rsidRPr="00C9792D">
              <w:rPr>
                <w:rFonts w:asciiTheme="minorHAnsi" w:hAnsiTheme="minorHAnsi"/>
                <w:color w:val="auto"/>
                <w:sz w:val="20"/>
                <w:szCs w:val="20"/>
              </w:rPr>
              <w:t>ed</w:t>
            </w: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in the form of individual reports.</w:t>
            </w:r>
          </w:p>
        </w:tc>
      </w:tr>
      <w:tr w:rsidR="00E05086" w:rsidRPr="00A81DB1" w14:paraId="50B416D7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gridSpan w:val="2"/>
          </w:tcPr>
          <w:p w14:paraId="11691F93" w14:textId="77777777" w:rsidR="00E05086" w:rsidRPr="00C9792D" w:rsidRDefault="00E05086" w:rsidP="00E05086">
            <w:pPr>
              <w:rPr>
                <w:rFonts w:cs="Calibri"/>
                <w:i/>
                <w:iCs/>
                <w:snapToGrid w:val="0"/>
                <w:sz w:val="20"/>
                <w:szCs w:val="20"/>
              </w:rPr>
            </w:pPr>
            <w:r w:rsidRPr="00C9792D">
              <w:rPr>
                <w:rFonts w:cs="Calibri"/>
                <w:i/>
                <w:iCs/>
                <w:snapToGrid w:val="0"/>
                <w:sz w:val="20"/>
                <w:szCs w:val="20"/>
              </w:rPr>
              <w:t>Plan MEDIN codefest to demonstrate how MEDIN data and metadata can be used by UK marine community and beyond</w:t>
            </w:r>
          </w:p>
        </w:tc>
        <w:tc>
          <w:tcPr>
            <w:tcW w:w="1227" w:type="dxa"/>
            <w:gridSpan w:val="2"/>
          </w:tcPr>
          <w:p w14:paraId="08ECF364" w14:textId="6EBE94F2" w:rsidR="00E05086" w:rsidRPr="00C9792D" w:rsidRDefault="007F0BDF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Completed</w:t>
            </w:r>
          </w:p>
        </w:tc>
        <w:tc>
          <w:tcPr>
            <w:tcW w:w="3576" w:type="dxa"/>
          </w:tcPr>
          <w:p w14:paraId="05420485" w14:textId="6D09E595" w:rsidR="00E05086" w:rsidRPr="00C9792D" w:rsidRDefault="00E05086" w:rsidP="00E74B4A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Codefest planned for Q3. </w:t>
            </w:r>
            <w:r w:rsidR="00E74B4A" w:rsidRPr="00C9792D">
              <w:rPr>
                <w:rFonts w:asciiTheme="minorHAnsi" w:hAnsiTheme="minorHAnsi"/>
                <w:color w:val="auto"/>
                <w:sz w:val="20"/>
                <w:szCs w:val="20"/>
              </w:rPr>
              <w:t>D</w:t>
            </w: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iscussion at DAC WG meeting 15</w:t>
            </w:r>
            <w:r w:rsidRPr="00C9792D">
              <w:rPr>
                <w:rFonts w:asciiTheme="minorHAnsi" w:hAnsiTheme="minorHAnsi"/>
                <w:color w:val="auto"/>
                <w:sz w:val="20"/>
                <w:szCs w:val="20"/>
                <w:vertAlign w:val="superscript"/>
              </w:rPr>
              <w:t>th</w:t>
            </w: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June.</w:t>
            </w:r>
          </w:p>
        </w:tc>
      </w:tr>
      <w:tr w:rsidR="00E05086" w:rsidRPr="00A81DB1" w14:paraId="7BCA8D97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gridSpan w:val="2"/>
          </w:tcPr>
          <w:p w14:paraId="27DD1C9C" w14:textId="77777777" w:rsidR="00E05086" w:rsidRPr="00C9792D" w:rsidRDefault="00E05086" w:rsidP="00E05086">
            <w:pPr>
              <w:rPr>
                <w:rFonts w:cs="Calibri"/>
                <w:i/>
                <w:iCs/>
                <w:snapToGrid w:val="0"/>
                <w:sz w:val="20"/>
                <w:szCs w:val="20"/>
              </w:rPr>
            </w:pPr>
            <w:r w:rsidRPr="00C9792D">
              <w:rPr>
                <w:rFonts w:cs="Calibri"/>
                <w:i/>
                <w:iCs/>
                <w:snapToGrid w:val="0"/>
                <w:sz w:val="20"/>
                <w:szCs w:val="20"/>
              </w:rPr>
              <w:t>Launch small data archiving project proposals from DACs with a focus on forging links with industry partners</w:t>
            </w:r>
          </w:p>
        </w:tc>
        <w:tc>
          <w:tcPr>
            <w:tcW w:w="1227" w:type="dxa"/>
            <w:gridSpan w:val="2"/>
          </w:tcPr>
          <w:p w14:paraId="689F52BA" w14:textId="5530A7A7" w:rsidR="00E05086" w:rsidRPr="00C9792D" w:rsidRDefault="007F0BDF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Completed</w:t>
            </w:r>
          </w:p>
        </w:tc>
        <w:tc>
          <w:tcPr>
            <w:tcW w:w="3576" w:type="dxa"/>
          </w:tcPr>
          <w:p w14:paraId="4335A367" w14:textId="0B5A6148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Timeline for proposals announced at DAC WG meeting 15</w:t>
            </w:r>
            <w:r w:rsidRPr="00C9792D">
              <w:rPr>
                <w:rFonts w:asciiTheme="minorHAnsi" w:hAnsiTheme="minorHAnsi"/>
                <w:color w:val="auto"/>
                <w:sz w:val="20"/>
                <w:szCs w:val="20"/>
                <w:vertAlign w:val="superscript"/>
              </w:rPr>
              <w:t>th</w:t>
            </w: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June.</w:t>
            </w:r>
            <w:r w:rsidR="007F0BDF" w:rsidRPr="00C979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1 proposal </w:t>
            </w:r>
            <w:proofErr w:type="gramStart"/>
            <w:r w:rsidR="007F0BDF" w:rsidRPr="00C9792D">
              <w:rPr>
                <w:rFonts w:asciiTheme="minorHAnsi" w:hAnsiTheme="minorHAnsi"/>
                <w:color w:val="auto"/>
                <w:sz w:val="20"/>
                <w:szCs w:val="20"/>
              </w:rPr>
              <w:t>was received</w:t>
            </w:r>
            <w:proofErr w:type="gramEnd"/>
            <w:r w:rsidR="007F0BDF" w:rsidRPr="00C979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. </w:t>
            </w:r>
          </w:p>
        </w:tc>
      </w:tr>
      <w:tr w:rsidR="00E05086" w:rsidRPr="00A81DB1" w14:paraId="1F575244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gridSpan w:val="2"/>
          </w:tcPr>
          <w:p w14:paraId="24A6DEA1" w14:textId="77777777" w:rsidR="00E05086" w:rsidRPr="00C9792D" w:rsidRDefault="00E05086" w:rsidP="00E05086">
            <w:pPr>
              <w:rPr>
                <w:rFonts w:cs="Calibri"/>
                <w:i/>
                <w:iCs/>
                <w:snapToGrid w:val="0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cs="Calibri"/>
                <w:i/>
                <w:iCs/>
                <w:snapToGrid w:val="0"/>
                <w:color w:val="808080" w:themeColor="background1" w:themeShade="80"/>
                <w:sz w:val="20"/>
                <w:szCs w:val="20"/>
              </w:rPr>
              <w:t>Hold meeting with Scottish agencies SNH and SEPA to facilitate data flow to DACs</w:t>
            </w:r>
          </w:p>
        </w:tc>
        <w:tc>
          <w:tcPr>
            <w:tcW w:w="1227" w:type="dxa"/>
            <w:gridSpan w:val="2"/>
          </w:tcPr>
          <w:p w14:paraId="30B79B3C" w14:textId="57F4C9DE" w:rsidR="00E05086" w:rsidRPr="00C9792D" w:rsidRDefault="007B549D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Off track</w:t>
            </w:r>
          </w:p>
        </w:tc>
        <w:tc>
          <w:tcPr>
            <w:tcW w:w="3576" w:type="dxa"/>
          </w:tcPr>
          <w:p w14:paraId="0ECB10FC" w14:textId="172D6A61" w:rsidR="00E05086" w:rsidRPr="00C9792D" w:rsidRDefault="007B549D" w:rsidP="007B549D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 xml:space="preserve">Postponed to Q2 </w:t>
            </w:r>
          </w:p>
        </w:tc>
      </w:tr>
      <w:tr w:rsidR="00E05086" w:rsidRPr="00A81DB1" w14:paraId="2A29C5D1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  <w:shd w:val="clear" w:color="auto" w:fill="4F81BD" w:themeFill="accent1"/>
            <w:hideMark/>
          </w:tcPr>
          <w:p w14:paraId="73FBAF73" w14:textId="77777777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Q2</w:t>
            </w:r>
          </w:p>
        </w:tc>
        <w:tc>
          <w:tcPr>
            <w:tcW w:w="1227" w:type="dxa"/>
            <w:gridSpan w:val="2"/>
            <w:shd w:val="clear" w:color="auto" w:fill="4F81BD" w:themeFill="accent1"/>
          </w:tcPr>
          <w:p w14:paraId="1986CA30" w14:textId="77777777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82" w:type="dxa"/>
            <w:gridSpan w:val="2"/>
            <w:shd w:val="clear" w:color="auto" w:fill="4F81BD" w:themeFill="accent1"/>
          </w:tcPr>
          <w:p w14:paraId="63074D35" w14:textId="77777777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05086" w:rsidRPr="00A81DB1" w14:paraId="41C667DB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1F96BB6B" w14:textId="77777777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Reaccreditation outline plan for 2017 (KT1.3)</w:t>
            </w: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FishDAC</w:t>
            </w:r>
            <w:proofErr w:type="spellEnd"/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Cefas</w:t>
            </w:r>
            <w:proofErr w:type="spellEnd"/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and Marine Science Scotland) are due this year.</w:t>
            </w:r>
          </w:p>
        </w:tc>
        <w:tc>
          <w:tcPr>
            <w:tcW w:w="1227" w:type="dxa"/>
            <w:gridSpan w:val="2"/>
          </w:tcPr>
          <w:p w14:paraId="74A0BF33" w14:textId="65AF53BB" w:rsidR="00E05086" w:rsidRPr="00C9792D" w:rsidRDefault="00C9792D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Completed</w:t>
            </w:r>
          </w:p>
        </w:tc>
        <w:tc>
          <w:tcPr>
            <w:tcW w:w="3582" w:type="dxa"/>
            <w:gridSpan w:val="2"/>
          </w:tcPr>
          <w:p w14:paraId="55D404BB" w14:textId="4A3E7D96" w:rsidR="00E05086" w:rsidRPr="00C9792D" w:rsidRDefault="00E05086" w:rsidP="00920667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proofErr w:type="spellStart"/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FishDAC</w:t>
            </w:r>
            <w:proofErr w:type="spellEnd"/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Cefas</w:t>
            </w:r>
            <w:proofErr w:type="spellEnd"/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and Marine Science Scotland) are due this year.</w:t>
            </w:r>
            <w:r w:rsidR="00DB054F"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Reaccreditation e-mail and template </w:t>
            </w:r>
            <w:r w:rsidR="00920667"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sent</w:t>
            </w:r>
            <w:r w:rsidR="00DB054F"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to </w:t>
            </w:r>
            <w:proofErr w:type="spellStart"/>
            <w:r w:rsidR="00DB054F"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Cefas</w:t>
            </w:r>
            <w:proofErr w:type="spellEnd"/>
            <w:r w:rsidR="00DB054F"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, Marine Scotland and AFBI.</w:t>
            </w:r>
          </w:p>
        </w:tc>
      </w:tr>
      <w:tr w:rsidR="00E05086" w:rsidRPr="00A81DB1" w14:paraId="7B17B41B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738B01F0" w14:textId="77777777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 xml:space="preserve">Review Northern Ireland </w:t>
            </w:r>
            <w:proofErr w:type="spellStart"/>
            <w:r w:rsidRPr="00C9792D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>FishDAC</w:t>
            </w:r>
            <w:proofErr w:type="spellEnd"/>
            <w:r w:rsidRPr="00C9792D">
              <w:rPr>
                <w:rFonts w:asciiTheme="minorHAnsi" w:hAnsiTheme="minorHAnsi" w:cs="Calibri"/>
                <w:color w:val="808080" w:themeColor="background1" w:themeShade="80"/>
                <w:sz w:val="20"/>
                <w:szCs w:val="20"/>
              </w:rPr>
              <w:t xml:space="preserve"> accreditation </w:t>
            </w:r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 xml:space="preserve">(KT1.3) </w:t>
            </w:r>
          </w:p>
        </w:tc>
        <w:tc>
          <w:tcPr>
            <w:tcW w:w="1227" w:type="dxa"/>
            <w:gridSpan w:val="2"/>
          </w:tcPr>
          <w:p w14:paraId="36D65C09" w14:textId="365D5963" w:rsidR="00E05086" w:rsidRPr="00C9792D" w:rsidRDefault="001131ED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Off track</w:t>
            </w:r>
          </w:p>
        </w:tc>
        <w:tc>
          <w:tcPr>
            <w:tcW w:w="3582" w:type="dxa"/>
            <w:gridSpan w:val="2"/>
          </w:tcPr>
          <w:p w14:paraId="589584E2" w14:textId="78B0DC0A" w:rsidR="00E05086" w:rsidRPr="00C9792D" w:rsidRDefault="00DB054F" w:rsidP="00E74B4A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Accreditation to </w:t>
            </w:r>
            <w:proofErr w:type="gramStart"/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be done</w:t>
            </w:r>
            <w:proofErr w:type="gramEnd"/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 with assistance from </w:t>
            </w:r>
            <w:proofErr w:type="spellStart"/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Cefas</w:t>
            </w:r>
            <w:proofErr w:type="spellEnd"/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 and Marine Scotland Science.</w:t>
            </w:r>
            <w:r w:rsidR="00E74B4A"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 Intention is to submit in Q3.</w:t>
            </w:r>
          </w:p>
        </w:tc>
      </w:tr>
      <w:tr w:rsidR="00E05086" w:rsidRPr="00A81DB1" w14:paraId="7437C28F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57656020" w14:textId="77777777" w:rsidR="00E05086" w:rsidRPr="00C9792D" w:rsidRDefault="00E05086" w:rsidP="00E05086">
            <w:pPr>
              <w:rPr>
                <w:i/>
                <w:sz w:val="20"/>
                <w:szCs w:val="20"/>
              </w:rPr>
            </w:pPr>
            <w:r w:rsidRPr="00C9792D">
              <w:rPr>
                <w:bCs w:val="0"/>
                <w:i/>
                <w:sz w:val="20"/>
                <w:szCs w:val="20"/>
              </w:rPr>
              <w:t>Deliver MCZ / MPA data archiving progress report (KT1.1)</w:t>
            </w:r>
          </w:p>
        </w:tc>
        <w:tc>
          <w:tcPr>
            <w:tcW w:w="1227" w:type="dxa"/>
            <w:gridSpan w:val="2"/>
          </w:tcPr>
          <w:p w14:paraId="67259040" w14:textId="6231FA45" w:rsidR="00E05086" w:rsidRPr="00C9792D" w:rsidRDefault="001131ED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Completed</w:t>
            </w:r>
          </w:p>
        </w:tc>
        <w:tc>
          <w:tcPr>
            <w:tcW w:w="3582" w:type="dxa"/>
            <w:gridSpan w:val="2"/>
          </w:tcPr>
          <w:p w14:paraId="271BE548" w14:textId="5FEBCDFF" w:rsidR="00E05086" w:rsidRPr="00C9792D" w:rsidRDefault="001131ED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Progress report presented at DAC WG meeting 15</w:t>
            </w: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  <w:vertAlign w:val="superscript"/>
              </w:rPr>
              <w:t>th</w:t>
            </w:r>
            <w:r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June</w:t>
            </w:r>
          </w:p>
        </w:tc>
      </w:tr>
      <w:tr w:rsidR="00E05086" w:rsidRPr="00A81DB1" w14:paraId="216CD71C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1A2FEC20" w14:textId="77777777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 xml:space="preserve">Identify MSFD datasets to be managed in the DAC network </w:t>
            </w:r>
          </w:p>
        </w:tc>
        <w:tc>
          <w:tcPr>
            <w:tcW w:w="1227" w:type="dxa"/>
            <w:gridSpan w:val="2"/>
          </w:tcPr>
          <w:p w14:paraId="3B824AFC" w14:textId="5041FFB6" w:rsidR="00E05086" w:rsidRPr="00C9792D" w:rsidRDefault="00DB054F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Off track</w:t>
            </w:r>
          </w:p>
        </w:tc>
        <w:tc>
          <w:tcPr>
            <w:tcW w:w="3582" w:type="dxa"/>
            <w:gridSpan w:val="2"/>
          </w:tcPr>
          <w:p w14:paraId="10838AB4" w14:textId="3D9D3C51" w:rsidR="00E05086" w:rsidRPr="00C9792D" w:rsidRDefault="00DB054F" w:rsidP="007B549D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MSFD/MEDIN Data Task Group met in August after 15-month break. Discussed timetable for MSFD data publishing.</w:t>
            </w:r>
            <w:r w:rsidR="00B30494"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B549D"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Postponed to Q3</w:t>
            </w:r>
          </w:p>
        </w:tc>
      </w:tr>
      <w:tr w:rsidR="00E05086" w:rsidRPr="00A81DB1" w14:paraId="25410EAE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67851E18" w14:textId="77777777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lastRenderedPageBreak/>
              <w:t>Review trial of coordinated archiving approach (central enquiry point, and generic online and downloadable guidance for DAC network and data submission)</w:t>
            </w:r>
          </w:p>
        </w:tc>
        <w:tc>
          <w:tcPr>
            <w:tcW w:w="1227" w:type="dxa"/>
            <w:gridSpan w:val="2"/>
          </w:tcPr>
          <w:p w14:paraId="78E05F26" w14:textId="34754970" w:rsidR="00E05086" w:rsidRPr="00C9792D" w:rsidRDefault="001131ED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Off track</w:t>
            </w:r>
          </w:p>
        </w:tc>
        <w:tc>
          <w:tcPr>
            <w:tcW w:w="3582" w:type="dxa"/>
            <w:gridSpan w:val="2"/>
          </w:tcPr>
          <w:p w14:paraId="52AF2C3D" w14:textId="2FBBFC4C" w:rsidR="00E05086" w:rsidRPr="00C9792D" w:rsidRDefault="001131ED" w:rsidP="007B549D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 xml:space="preserve">No multidisciplinary data </w:t>
            </w:r>
            <w:proofErr w:type="gramStart"/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have been archived</w:t>
            </w:r>
            <w:proofErr w:type="gramEnd"/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 xml:space="preserve"> since the guidance was published. The guidance </w:t>
            </w:r>
            <w:proofErr w:type="gramStart"/>
            <w:r w:rsidR="007B549D"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will be</w:t>
            </w:r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 xml:space="preserve"> advertised</w:t>
            </w:r>
            <w:proofErr w:type="gramEnd"/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 xml:space="preserve"> in the </w:t>
            </w:r>
            <w:r w:rsidR="007B549D"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next</w:t>
            </w:r>
            <w:r w:rsidRPr="00C9792D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 xml:space="preserve"> issue of MDN to raise awareness. Postponed to Q3.</w:t>
            </w:r>
          </w:p>
        </w:tc>
      </w:tr>
      <w:tr w:rsidR="00E05086" w:rsidRPr="00A81DB1" w14:paraId="145E9A8B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4BDCFFFA" w14:textId="6C2A8A0D" w:rsidR="00E05086" w:rsidRPr="00C9792D" w:rsidRDefault="00E05086" w:rsidP="00E74B4A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bCs w:val="0"/>
                <w:i/>
                <w:color w:val="808080" w:themeColor="background1" w:themeShade="80"/>
                <w:sz w:val="20"/>
                <w:szCs w:val="20"/>
              </w:rPr>
              <w:t>DAC Group to review and improve DAC components of MEDIN</w:t>
            </w:r>
            <w:r w:rsidR="00E74B4A" w:rsidRPr="00C9792D">
              <w:rPr>
                <w:bCs w:val="0"/>
                <w:i/>
                <w:color w:val="808080" w:themeColor="background1" w:themeShade="80"/>
                <w:sz w:val="20"/>
                <w:szCs w:val="20"/>
              </w:rPr>
              <w:t xml:space="preserve"> website.</w:t>
            </w:r>
            <w:r w:rsidRPr="00C9792D">
              <w:rPr>
                <w:bCs w:val="0"/>
                <w:i/>
                <w:color w:val="808080" w:themeColor="background1" w:themeShade="80"/>
                <w:sz w:val="20"/>
                <w:szCs w:val="20"/>
              </w:rPr>
              <w:t xml:space="preserve"> Implementation of changes.</w:t>
            </w:r>
          </w:p>
        </w:tc>
        <w:tc>
          <w:tcPr>
            <w:tcW w:w="1227" w:type="dxa"/>
            <w:gridSpan w:val="2"/>
          </w:tcPr>
          <w:p w14:paraId="785500B2" w14:textId="53C7F341" w:rsidR="00E05086" w:rsidRPr="00C9792D" w:rsidRDefault="001131ED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Off track</w:t>
            </w:r>
          </w:p>
        </w:tc>
        <w:tc>
          <w:tcPr>
            <w:tcW w:w="3582" w:type="dxa"/>
            <w:gridSpan w:val="2"/>
          </w:tcPr>
          <w:p w14:paraId="70089590" w14:textId="4877A3CC" w:rsidR="00E05086" w:rsidRPr="00C9792D" w:rsidRDefault="001131ED" w:rsidP="007B549D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Not started</w:t>
            </w:r>
            <w:r w:rsidR="00DB054F"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, due to staff changes</w:t>
            </w:r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. </w:t>
            </w:r>
            <w:r w:rsidR="007B549D"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This </w:t>
            </w:r>
            <w:proofErr w:type="gramStart"/>
            <w:r w:rsidR="007B549D"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will be done</w:t>
            </w:r>
            <w:proofErr w:type="gramEnd"/>
            <w:r w:rsidR="007B549D"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 as part of the overall website update. </w:t>
            </w:r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Postponed to Q4.</w:t>
            </w:r>
          </w:p>
        </w:tc>
      </w:tr>
      <w:tr w:rsidR="007B549D" w:rsidRPr="00A81DB1" w14:paraId="0CCE4376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0DCE68C4" w14:textId="6A349EB0" w:rsidR="007B549D" w:rsidRPr="00C9792D" w:rsidRDefault="007B549D" w:rsidP="007B549D">
            <w:pPr>
              <w:rPr>
                <w:sz w:val="20"/>
                <w:szCs w:val="20"/>
              </w:rPr>
            </w:pPr>
            <w:r w:rsidRPr="00C9792D">
              <w:rPr>
                <w:rFonts w:cs="Calibri"/>
                <w:i/>
                <w:iCs/>
                <w:snapToGrid w:val="0"/>
                <w:sz w:val="20"/>
                <w:szCs w:val="20"/>
              </w:rPr>
              <w:t>Hold meeting with Scottish agencies SNH and SEPA to facilitate data flow to DACs</w:t>
            </w:r>
          </w:p>
        </w:tc>
        <w:tc>
          <w:tcPr>
            <w:tcW w:w="1227" w:type="dxa"/>
            <w:gridSpan w:val="2"/>
          </w:tcPr>
          <w:p w14:paraId="4295D955" w14:textId="37CA21A9" w:rsidR="007B549D" w:rsidRPr="00C9792D" w:rsidRDefault="007B549D" w:rsidP="007B549D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Completed</w:t>
            </w:r>
          </w:p>
        </w:tc>
        <w:tc>
          <w:tcPr>
            <w:tcW w:w="3582" w:type="dxa"/>
            <w:gridSpan w:val="2"/>
          </w:tcPr>
          <w:p w14:paraId="09BF5937" w14:textId="081C6D5D" w:rsidR="007B549D" w:rsidRPr="00C9792D" w:rsidRDefault="007B549D" w:rsidP="007B549D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CP and Martyn Cox met with SEPA and SNH, July 27</w:t>
            </w:r>
            <w:r w:rsidRPr="00C9792D">
              <w:rPr>
                <w:rFonts w:asciiTheme="minorHAnsi" w:hAnsiTheme="minorHAnsi"/>
                <w:color w:val="auto"/>
                <w:sz w:val="20"/>
                <w:szCs w:val="20"/>
                <w:vertAlign w:val="superscript"/>
              </w:rPr>
              <w:t>th</w:t>
            </w: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. </w:t>
            </w:r>
            <w:r w:rsidR="00B34972">
              <w:rPr>
                <w:rFonts w:asciiTheme="minorHAnsi" w:hAnsiTheme="minorHAnsi"/>
                <w:color w:val="auto"/>
                <w:sz w:val="20"/>
                <w:szCs w:val="20"/>
              </w:rPr>
              <w:t>Additional telephone update meetings held in Nov 17 and Mar 18.</w:t>
            </w:r>
          </w:p>
        </w:tc>
      </w:tr>
      <w:tr w:rsidR="00E05086" w:rsidRPr="00A81DB1" w14:paraId="604C0ED3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  <w:shd w:val="clear" w:color="auto" w:fill="4F81BD" w:themeFill="accent1"/>
            <w:hideMark/>
          </w:tcPr>
          <w:p w14:paraId="0C5B8943" w14:textId="77777777" w:rsidR="00E05086" w:rsidRPr="00C9792D" w:rsidRDefault="00E05086" w:rsidP="00E05086">
            <w:pPr>
              <w:rPr>
                <w:rFonts w:eastAsia="Times New Roman" w:cs="Arial"/>
                <w:b w:val="0"/>
                <w:color w:val="FFFFFF" w:themeColor="background1"/>
                <w:sz w:val="20"/>
                <w:szCs w:val="20"/>
              </w:rPr>
            </w:pPr>
            <w:r w:rsidRPr="00C9792D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Q3</w:t>
            </w:r>
          </w:p>
        </w:tc>
        <w:tc>
          <w:tcPr>
            <w:tcW w:w="1227" w:type="dxa"/>
            <w:gridSpan w:val="2"/>
            <w:shd w:val="clear" w:color="auto" w:fill="4F81BD" w:themeFill="accent1"/>
          </w:tcPr>
          <w:p w14:paraId="2EAD7CBF" w14:textId="77777777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82" w:type="dxa"/>
            <w:gridSpan w:val="2"/>
            <w:shd w:val="clear" w:color="auto" w:fill="4F81BD" w:themeFill="accent1"/>
          </w:tcPr>
          <w:p w14:paraId="50978813" w14:textId="77777777" w:rsidR="00E05086" w:rsidRPr="00C9792D" w:rsidRDefault="00E05086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</w:p>
        </w:tc>
      </w:tr>
      <w:tr w:rsidR="00E05086" w:rsidRPr="00A81DB1" w14:paraId="4612D225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60E1B142" w14:textId="77777777" w:rsidR="00E05086" w:rsidRPr="00C9792D" w:rsidRDefault="00E05086" w:rsidP="00E05086">
            <w:pPr>
              <w:pStyle w:val="NumPara9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DAC Working Group Meeting</w:t>
            </w:r>
          </w:p>
        </w:tc>
        <w:tc>
          <w:tcPr>
            <w:tcW w:w="1227" w:type="dxa"/>
            <w:gridSpan w:val="2"/>
          </w:tcPr>
          <w:p w14:paraId="4D5A0D70" w14:textId="363A5B7C" w:rsidR="00E05086" w:rsidRPr="00C9792D" w:rsidRDefault="001D35AF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Completed</w:t>
            </w:r>
          </w:p>
        </w:tc>
        <w:tc>
          <w:tcPr>
            <w:tcW w:w="3582" w:type="dxa"/>
            <w:gridSpan w:val="2"/>
          </w:tcPr>
          <w:p w14:paraId="12C26113" w14:textId="63F2AFE9" w:rsidR="00E05086" w:rsidRPr="00C9792D" w:rsidRDefault="001D35AF" w:rsidP="00E05086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Held 8</w:t>
            </w:r>
            <w:r w:rsidRPr="001D35AF">
              <w:rPr>
                <w:rFonts w:asciiTheme="minorHAnsi" w:eastAsia="Times New Roman" w:hAnsiTheme="minorHAnsi"/>
                <w:color w:val="auto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Nov 2017</w:t>
            </w:r>
            <w:r w:rsidR="007746D3" w:rsidRPr="00C9792D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1D35AF" w:rsidRPr="00A81DB1" w14:paraId="60D32C0F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5B14B0C7" w14:textId="77777777" w:rsidR="001D35AF" w:rsidRPr="00C9792D" w:rsidRDefault="001D35AF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 w:cs="Calibri"/>
                <w:snapToGrid w:val="0"/>
                <w:color w:val="auto"/>
                <w:sz w:val="20"/>
                <w:szCs w:val="20"/>
              </w:rPr>
              <w:t>Assess progress with archive of data from TCE renewables round 3 and report</w:t>
            </w:r>
          </w:p>
        </w:tc>
        <w:tc>
          <w:tcPr>
            <w:tcW w:w="1227" w:type="dxa"/>
            <w:gridSpan w:val="2"/>
          </w:tcPr>
          <w:p w14:paraId="43CEAC3E" w14:textId="3F253550" w:rsidR="001D35AF" w:rsidRPr="00C9792D" w:rsidRDefault="001D35AF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No longer applicable</w:t>
            </w:r>
          </w:p>
        </w:tc>
        <w:tc>
          <w:tcPr>
            <w:tcW w:w="3582" w:type="dxa"/>
            <w:gridSpan w:val="2"/>
          </w:tcPr>
          <w:p w14:paraId="6AB29A37" w14:textId="117B12A9" w:rsidR="001D35AF" w:rsidRPr="00C9792D" w:rsidRDefault="001D35AF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TCE has decided there is no longer a need to archive data with the DACs as it is planning to continue to use MDE.</w:t>
            </w:r>
          </w:p>
        </w:tc>
      </w:tr>
      <w:tr w:rsidR="001D35AF" w:rsidRPr="00A81DB1" w14:paraId="3DF348D9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204E33DC" w14:textId="77777777" w:rsidR="001D35AF" w:rsidRPr="00C9792D" w:rsidRDefault="001D35AF" w:rsidP="001D35AF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C9792D">
              <w:rPr>
                <w:bCs w:val="0"/>
                <w:i/>
                <w:sz w:val="20"/>
                <w:szCs w:val="20"/>
              </w:rPr>
              <w:t>Hold 3</w:t>
            </w:r>
            <w:r w:rsidRPr="00C9792D">
              <w:rPr>
                <w:bCs w:val="0"/>
                <w:i/>
                <w:sz w:val="20"/>
                <w:szCs w:val="20"/>
                <w:vertAlign w:val="superscript"/>
              </w:rPr>
              <w:t>rd</w:t>
            </w:r>
            <w:r w:rsidRPr="00C9792D">
              <w:rPr>
                <w:bCs w:val="0"/>
                <w:i/>
                <w:sz w:val="20"/>
                <w:szCs w:val="20"/>
              </w:rPr>
              <w:t xml:space="preserve"> DAC “Codefest” / DAC technical workshop and report findings</w:t>
            </w:r>
          </w:p>
        </w:tc>
        <w:tc>
          <w:tcPr>
            <w:tcW w:w="1227" w:type="dxa"/>
            <w:gridSpan w:val="2"/>
          </w:tcPr>
          <w:p w14:paraId="732854C9" w14:textId="217C6DFB" w:rsidR="001D35AF" w:rsidRPr="00C9792D" w:rsidRDefault="001D35AF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No longer applicable</w:t>
            </w:r>
          </w:p>
        </w:tc>
        <w:tc>
          <w:tcPr>
            <w:tcW w:w="3582" w:type="dxa"/>
            <w:gridSpan w:val="2"/>
          </w:tcPr>
          <w:p w14:paraId="6D49A95D" w14:textId="16A5971F" w:rsidR="001D35AF" w:rsidRPr="00C9792D" w:rsidRDefault="001D35AF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It </w:t>
            </w:r>
            <w:proofErr w:type="gramStart"/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was decided</w:t>
            </w:r>
            <w:proofErr w:type="gramEnd"/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to not hold a MEDIN codefest this year, and instead MEDIN funded 2 people from the DACs to attend the </w:t>
            </w:r>
            <w:proofErr w:type="spellStart"/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EMODnet</w:t>
            </w:r>
            <w:proofErr w:type="spellEnd"/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codefest, also being held in November.</w:t>
            </w:r>
          </w:p>
        </w:tc>
      </w:tr>
      <w:tr w:rsidR="001D35AF" w:rsidRPr="00A81DB1" w14:paraId="42D282AD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393E949C" w14:textId="77777777" w:rsidR="001D35AF" w:rsidRPr="00C9792D" w:rsidRDefault="001D35AF" w:rsidP="001D35AF">
            <w:pPr>
              <w:rPr>
                <w:rFonts w:cs="Arial"/>
                <w:i/>
                <w:sz w:val="20"/>
                <w:szCs w:val="20"/>
              </w:rPr>
            </w:pPr>
            <w:r w:rsidRPr="00C9792D">
              <w:rPr>
                <w:i/>
                <w:sz w:val="20"/>
                <w:szCs w:val="20"/>
              </w:rPr>
              <w:t>Complete metadata quality check and report on findings</w:t>
            </w:r>
          </w:p>
        </w:tc>
        <w:tc>
          <w:tcPr>
            <w:tcW w:w="1227" w:type="dxa"/>
            <w:gridSpan w:val="2"/>
          </w:tcPr>
          <w:p w14:paraId="30D7EE1A" w14:textId="7AE14DFB" w:rsidR="001D35AF" w:rsidRPr="00C9792D" w:rsidRDefault="001D35AF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Completed</w:t>
            </w:r>
          </w:p>
        </w:tc>
        <w:tc>
          <w:tcPr>
            <w:tcW w:w="3582" w:type="dxa"/>
            <w:gridSpan w:val="2"/>
          </w:tcPr>
          <w:p w14:paraId="66D63595" w14:textId="334275B4" w:rsidR="001D35AF" w:rsidRPr="00C9792D" w:rsidRDefault="001D35AF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05347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All DACs have received an individual report and </w:t>
            </w:r>
            <w:r w:rsidR="00053473" w:rsidRPr="0005347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have found it useful to have these checks carried </w:t>
            </w:r>
            <w:proofErr w:type="gramStart"/>
            <w:r w:rsidR="00053473" w:rsidRPr="00053473">
              <w:rPr>
                <w:rFonts w:asciiTheme="minorHAnsi" w:hAnsiTheme="minorHAnsi"/>
                <w:color w:val="auto"/>
                <w:sz w:val="20"/>
                <w:szCs w:val="20"/>
              </w:rPr>
              <w:t>out</w:t>
            </w:r>
            <w:proofErr w:type="gramEnd"/>
            <w:r w:rsidR="00053473" w:rsidRPr="0005347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as it will help improve future metadata records.</w:t>
            </w:r>
          </w:p>
        </w:tc>
      </w:tr>
      <w:tr w:rsidR="001D35AF" w:rsidRPr="00A81DB1" w14:paraId="4561D78D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777E27E6" w14:textId="56A71118" w:rsidR="001D35AF" w:rsidRPr="00C9792D" w:rsidRDefault="001D35AF" w:rsidP="001D35AF">
            <w:pPr>
              <w:rPr>
                <w:i/>
                <w:sz w:val="20"/>
                <w:szCs w:val="20"/>
              </w:rPr>
            </w:pPr>
            <w:r w:rsidRPr="00C9792D">
              <w:rPr>
                <w:i/>
                <w:sz w:val="20"/>
                <w:szCs w:val="20"/>
              </w:rPr>
              <w:t>Review trial of coordinated archiving approach (central enquiry point, and generic online and downloadable guidance for DAC network and data submission)</w:t>
            </w:r>
          </w:p>
        </w:tc>
        <w:tc>
          <w:tcPr>
            <w:tcW w:w="1227" w:type="dxa"/>
            <w:gridSpan w:val="2"/>
          </w:tcPr>
          <w:p w14:paraId="3DCD8862" w14:textId="77777777" w:rsidR="001D35AF" w:rsidRPr="00C9792D" w:rsidRDefault="001D35AF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582" w:type="dxa"/>
            <w:gridSpan w:val="2"/>
          </w:tcPr>
          <w:p w14:paraId="10F5EBC0" w14:textId="79326F89" w:rsidR="001D35AF" w:rsidRPr="00C9792D" w:rsidRDefault="001D35AF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Brought forward from Q2</w:t>
            </w:r>
            <w:r w:rsidR="0005347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. There has been no multidisciplinary data archived since the guidance </w:t>
            </w:r>
            <w:proofErr w:type="gramStart"/>
            <w:r w:rsidR="00053473">
              <w:rPr>
                <w:rFonts w:asciiTheme="minorHAnsi" w:hAnsiTheme="minorHAnsi"/>
                <w:color w:val="auto"/>
                <w:sz w:val="20"/>
                <w:szCs w:val="20"/>
              </w:rPr>
              <w:t>was issued</w:t>
            </w:r>
            <w:proofErr w:type="gramEnd"/>
            <w:r w:rsidR="0005347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. </w:t>
            </w:r>
            <w:r w:rsidR="00AC386F">
              <w:rPr>
                <w:rFonts w:asciiTheme="minorHAnsi" w:hAnsiTheme="minorHAnsi"/>
                <w:color w:val="auto"/>
                <w:sz w:val="20"/>
                <w:szCs w:val="20"/>
              </w:rPr>
              <w:t>However, MEDIN are working with Crown Estate Scotland to establish a trial of archiving data acquired through their lease agreements.</w:t>
            </w:r>
          </w:p>
        </w:tc>
      </w:tr>
      <w:tr w:rsidR="001D35AF" w:rsidRPr="00A81DB1" w14:paraId="12F15F20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0BDCC6F3" w14:textId="40221252" w:rsidR="001D35AF" w:rsidRPr="00053473" w:rsidRDefault="001D35AF" w:rsidP="00053473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053473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Review Northern Ireland </w:t>
            </w:r>
            <w:proofErr w:type="spellStart"/>
            <w:r w:rsidRPr="00053473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FishDAC</w:t>
            </w:r>
            <w:proofErr w:type="spellEnd"/>
            <w:r w:rsidRPr="00053473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 accreditation (KT1.3)</w:t>
            </w:r>
          </w:p>
        </w:tc>
        <w:tc>
          <w:tcPr>
            <w:tcW w:w="1227" w:type="dxa"/>
            <w:gridSpan w:val="2"/>
          </w:tcPr>
          <w:p w14:paraId="2FC91BB7" w14:textId="4F1ED337" w:rsidR="001D35AF" w:rsidRPr="00053473" w:rsidRDefault="00053473" w:rsidP="00053473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Off track</w:t>
            </w:r>
          </w:p>
        </w:tc>
        <w:tc>
          <w:tcPr>
            <w:tcW w:w="3582" w:type="dxa"/>
            <w:gridSpan w:val="2"/>
          </w:tcPr>
          <w:p w14:paraId="5139013D" w14:textId="4452E4E1" w:rsidR="001D35AF" w:rsidRPr="00053473" w:rsidRDefault="001D35AF" w:rsidP="00053473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053473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Brought forward from Q2</w:t>
            </w:r>
            <w:r w:rsidR="00053473" w:rsidRPr="00053473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. The application is in progress and is likely to </w:t>
            </w:r>
            <w:proofErr w:type="gramStart"/>
            <w:r w:rsidR="00053473" w:rsidRPr="00053473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be submitted</w:t>
            </w:r>
            <w:proofErr w:type="gramEnd"/>
            <w:r w:rsidR="00053473" w:rsidRPr="00053473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 in Q4.</w:t>
            </w:r>
          </w:p>
        </w:tc>
      </w:tr>
      <w:tr w:rsidR="001D35AF" w:rsidRPr="00A81DB1" w14:paraId="1D9767D8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32477F64" w14:textId="7F52FDC5" w:rsidR="001D35AF" w:rsidRPr="00053473" w:rsidRDefault="001D35AF" w:rsidP="00053473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053473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 xml:space="preserve">Identify MSFD datasets to be managed in the DAC network </w:t>
            </w:r>
          </w:p>
        </w:tc>
        <w:tc>
          <w:tcPr>
            <w:tcW w:w="1227" w:type="dxa"/>
            <w:gridSpan w:val="2"/>
          </w:tcPr>
          <w:p w14:paraId="7BEEED7A" w14:textId="758D14D2" w:rsidR="001D35AF" w:rsidRPr="00053473" w:rsidRDefault="00053473" w:rsidP="00053473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C9792D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Off track</w:t>
            </w:r>
          </w:p>
        </w:tc>
        <w:tc>
          <w:tcPr>
            <w:tcW w:w="3582" w:type="dxa"/>
            <w:gridSpan w:val="2"/>
          </w:tcPr>
          <w:p w14:paraId="18194C78" w14:textId="34912AE6" w:rsidR="001D35AF" w:rsidRPr="00053473" w:rsidRDefault="001D35AF" w:rsidP="00053473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053473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Brought forward from Q2</w:t>
            </w:r>
            <w:r w:rsidR="00053473" w:rsidRPr="00053473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. Awaiting input from Data Task Group. Postponed to Q4.</w:t>
            </w:r>
          </w:p>
        </w:tc>
      </w:tr>
      <w:tr w:rsidR="001D35AF" w:rsidRPr="00A81DB1" w14:paraId="4303F136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  <w:shd w:val="clear" w:color="auto" w:fill="4F81BD" w:themeFill="accent1"/>
            <w:hideMark/>
          </w:tcPr>
          <w:p w14:paraId="20EBEFC1" w14:textId="77777777" w:rsidR="001D35AF" w:rsidRPr="00C9792D" w:rsidRDefault="001D35AF" w:rsidP="001D35AF">
            <w:pPr>
              <w:pStyle w:val="NumPara9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Q4</w:t>
            </w:r>
          </w:p>
        </w:tc>
        <w:tc>
          <w:tcPr>
            <w:tcW w:w="1227" w:type="dxa"/>
            <w:gridSpan w:val="2"/>
            <w:shd w:val="clear" w:color="auto" w:fill="4F81BD" w:themeFill="accent1"/>
          </w:tcPr>
          <w:p w14:paraId="16598ED7" w14:textId="77777777" w:rsidR="001D35AF" w:rsidRPr="00C9792D" w:rsidRDefault="001D35AF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82" w:type="dxa"/>
            <w:gridSpan w:val="2"/>
            <w:shd w:val="clear" w:color="auto" w:fill="4F81BD" w:themeFill="accent1"/>
          </w:tcPr>
          <w:p w14:paraId="04C98BC7" w14:textId="77777777" w:rsidR="001D35AF" w:rsidRPr="00C9792D" w:rsidRDefault="001D35AF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</w:p>
        </w:tc>
      </w:tr>
      <w:tr w:rsidR="005A38E7" w:rsidRPr="00A81DB1" w14:paraId="3AB96A6C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32944012" w14:textId="15FA76E1" w:rsidR="005A38E7" w:rsidRPr="005A38E7" w:rsidRDefault="005A38E7" w:rsidP="001D35AF">
            <w:pPr>
              <w:rPr>
                <w:rFonts w:cs="Calibri"/>
                <w:i/>
                <w:sz w:val="20"/>
                <w:szCs w:val="20"/>
              </w:rPr>
            </w:pPr>
            <w:r w:rsidRPr="005A38E7">
              <w:rPr>
                <w:rFonts w:eastAsia="Times New Roman"/>
                <w:sz w:val="20"/>
                <w:szCs w:val="20"/>
              </w:rPr>
              <w:t xml:space="preserve">Review Northern Ireland </w:t>
            </w:r>
            <w:proofErr w:type="spellStart"/>
            <w:r w:rsidRPr="005A38E7">
              <w:rPr>
                <w:rFonts w:eastAsia="Times New Roman"/>
                <w:sz w:val="20"/>
                <w:szCs w:val="20"/>
              </w:rPr>
              <w:t>FishDAC</w:t>
            </w:r>
            <w:proofErr w:type="spellEnd"/>
            <w:r w:rsidRPr="005A38E7">
              <w:rPr>
                <w:rFonts w:eastAsia="Times New Roman"/>
                <w:sz w:val="20"/>
                <w:szCs w:val="20"/>
              </w:rPr>
              <w:t xml:space="preserve"> accreditation (KT1.3)</w:t>
            </w:r>
          </w:p>
        </w:tc>
        <w:tc>
          <w:tcPr>
            <w:tcW w:w="1227" w:type="dxa"/>
            <w:gridSpan w:val="2"/>
          </w:tcPr>
          <w:p w14:paraId="7C6AB0CD" w14:textId="36F1ECFE" w:rsidR="005A38E7" w:rsidRPr="005A38E7" w:rsidRDefault="00EA743C" w:rsidP="001D35AF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On track</w:t>
            </w:r>
          </w:p>
        </w:tc>
        <w:tc>
          <w:tcPr>
            <w:tcW w:w="3582" w:type="dxa"/>
            <w:gridSpan w:val="2"/>
          </w:tcPr>
          <w:p w14:paraId="240DA681" w14:textId="5C7CC6C8" w:rsidR="005A38E7" w:rsidRPr="005A38E7" w:rsidRDefault="005A38E7" w:rsidP="00B3497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5A38E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The application is in progress, but </w:t>
            </w:r>
            <w:proofErr w:type="gramStart"/>
            <w:r w:rsidRPr="005A38E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has not yet been submitted</w:t>
            </w:r>
            <w:proofErr w:type="gramEnd"/>
            <w:r w:rsidRPr="005A38E7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.</w:t>
            </w:r>
            <w:r w:rsidR="00BC5036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</w:t>
            </w:r>
            <w:r w:rsidR="00B3497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Application is with AFBI legal team for approval before submission</w:t>
            </w:r>
            <w:r w:rsidR="00EA743C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. </w:t>
            </w:r>
            <w:r w:rsidR="00B3497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MEDIN</w:t>
            </w:r>
            <w:r w:rsidR="00BC5036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are following up to see if any assistance </w:t>
            </w:r>
            <w:proofErr w:type="gramStart"/>
            <w:r w:rsidR="00BC5036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is needed</w:t>
            </w:r>
            <w:proofErr w:type="gramEnd"/>
            <w:r w:rsidR="00BC5036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.</w:t>
            </w:r>
          </w:p>
        </w:tc>
      </w:tr>
      <w:tr w:rsidR="005A38E7" w:rsidRPr="00A81DB1" w14:paraId="37DF9149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2150547B" w14:textId="49F226D2" w:rsidR="005A38E7" w:rsidRPr="00EA743C" w:rsidRDefault="005A38E7" w:rsidP="005A38E7">
            <w:pPr>
              <w:rPr>
                <w:rFonts w:cs="Calibri"/>
                <w:i/>
                <w:color w:val="808080" w:themeColor="background1" w:themeShade="80"/>
                <w:sz w:val="20"/>
                <w:szCs w:val="20"/>
              </w:rPr>
            </w:pPr>
            <w:r w:rsidRPr="00EA743C">
              <w:rPr>
                <w:rFonts w:eastAsia="Times New Roman"/>
                <w:color w:val="808080" w:themeColor="background1" w:themeShade="80"/>
                <w:sz w:val="20"/>
                <w:szCs w:val="20"/>
              </w:rPr>
              <w:t xml:space="preserve">Identify MSFD datasets to be managed in the DAC network </w:t>
            </w:r>
          </w:p>
        </w:tc>
        <w:tc>
          <w:tcPr>
            <w:tcW w:w="1227" w:type="dxa"/>
            <w:gridSpan w:val="2"/>
          </w:tcPr>
          <w:p w14:paraId="21C5C21C" w14:textId="54D18D18" w:rsidR="005A38E7" w:rsidRPr="00EA743C" w:rsidRDefault="005A38E7" w:rsidP="005A38E7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EA743C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Off track</w:t>
            </w:r>
          </w:p>
        </w:tc>
        <w:tc>
          <w:tcPr>
            <w:tcW w:w="3582" w:type="dxa"/>
            <w:gridSpan w:val="2"/>
          </w:tcPr>
          <w:p w14:paraId="3AB47454" w14:textId="0BF7C5B4" w:rsidR="005A38E7" w:rsidRPr="00EA743C" w:rsidRDefault="005A38E7" w:rsidP="005A38E7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</w:pPr>
            <w:r w:rsidRPr="00EA743C">
              <w:rPr>
                <w:rFonts w:asciiTheme="minorHAnsi" w:eastAsia="Times New Roman" w:hAnsiTheme="minorHAnsi"/>
                <w:color w:val="808080" w:themeColor="background1" w:themeShade="80"/>
                <w:sz w:val="20"/>
                <w:szCs w:val="20"/>
              </w:rPr>
              <w:t>Brought forward from Q3. Awaiting input from Data Task Group. Postponed to next FY.</w:t>
            </w:r>
          </w:p>
        </w:tc>
      </w:tr>
      <w:tr w:rsidR="005A38E7" w:rsidRPr="00A81DB1" w14:paraId="25ABE339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09498CFF" w14:textId="77777777" w:rsidR="005A38E7" w:rsidRPr="00C9792D" w:rsidRDefault="005A38E7" w:rsidP="005A38E7">
            <w:pPr>
              <w:rPr>
                <w:rFonts w:eastAsia="Times New Roman" w:cs="Arial"/>
                <w:i/>
                <w:sz w:val="20"/>
                <w:szCs w:val="20"/>
              </w:rPr>
            </w:pPr>
            <w:r w:rsidRPr="00C9792D">
              <w:rPr>
                <w:rFonts w:cs="Calibri"/>
                <w:i/>
                <w:sz w:val="20"/>
                <w:szCs w:val="20"/>
              </w:rPr>
              <w:lastRenderedPageBreak/>
              <w:t xml:space="preserve">Assess progress with new components of the </w:t>
            </w:r>
            <w:proofErr w:type="spellStart"/>
            <w:r w:rsidRPr="00C9792D">
              <w:rPr>
                <w:rFonts w:cs="Calibri"/>
                <w:i/>
                <w:sz w:val="20"/>
                <w:szCs w:val="20"/>
              </w:rPr>
              <w:t>FishDAC</w:t>
            </w:r>
            <w:proofErr w:type="spellEnd"/>
            <w:r w:rsidRPr="00C9792D">
              <w:rPr>
                <w:rFonts w:cs="Calibri"/>
                <w:i/>
                <w:sz w:val="20"/>
                <w:szCs w:val="20"/>
              </w:rPr>
              <w:t xml:space="preserve"> and Historic Environment DAC (Department for Communities, Northern Ireland &amp; Historic England)</w:t>
            </w:r>
          </w:p>
        </w:tc>
        <w:tc>
          <w:tcPr>
            <w:tcW w:w="1227" w:type="dxa"/>
            <w:gridSpan w:val="2"/>
          </w:tcPr>
          <w:p w14:paraId="65B2C716" w14:textId="7B05407B" w:rsidR="005A38E7" w:rsidRPr="00C9792D" w:rsidRDefault="00E10546" w:rsidP="005A38E7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On track</w:t>
            </w:r>
          </w:p>
        </w:tc>
        <w:tc>
          <w:tcPr>
            <w:tcW w:w="3582" w:type="dxa"/>
            <w:gridSpan w:val="2"/>
          </w:tcPr>
          <w:p w14:paraId="168C7687" w14:textId="39973969" w:rsidR="005A38E7" w:rsidRPr="00C9792D" w:rsidRDefault="005A38E7" w:rsidP="000F3EDE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Awaiting submission of AFBI accreditation form for </w:t>
            </w:r>
            <w:proofErr w:type="spellStart"/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FishDAC</w:t>
            </w:r>
            <w:proofErr w:type="spellEnd"/>
            <w:r w:rsidR="00B34972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. Department for Communities, </w:t>
            </w:r>
            <w:r w:rsidR="00BC5036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NI </w:t>
            </w:r>
            <w:r w:rsidR="000F3EDE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aspires</w:t>
            </w:r>
            <w:r w:rsidR="00BC5036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 to become a component of the Heritage DAC, but there is no planned timescale.</w:t>
            </w:r>
          </w:p>
        </w:tc>
      </w:tr>
      <w:tr w:rsidR="005A38E7" w:rsidRPr="00A81DB1" w14:paraId="245EB32A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4E38D4CD" w14:textId="77777777" w:rsidR="005A38E7" w:rsidRPr="00C9792D" w:rsidRDefault="005A38E7" w:rsidP="005A38E7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WS1 Report for 2017-2018</w:t>
            </w:r>
          </w:p>
        </w:tc>
        <w:tc>
          <w:tcPr>
            <w:tcW w:w="1227" w:type="dxa"/>
            <w:gridSpan w:val="2"/>
          </w:tcPr>
          <w:p w14:paraId="7548A72B" w14:textId="79824510" w:rsidR="005A38E7" w:rsidRPr="00C9792D" w:rsidRDefault="000F3EDE" w:rsidP="005A38E7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On track</w:t>
            </w:r>
          </w:p>
        </w:tc>
        <w:tc>
          <w:tcPr>
            <w:tcW w:w="3582" w:type="dxa"/>
            <w:gridSpan w:val="2"/>
          </w:tcPr>
          <w:p w14:paraId="7F420FA2" w14:textId="77777777" w:rsidR="005A38E7" w:rsidRPr="00C9792D" w:rsidRDefault="005A38E7" w:rsidP="005A38E7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</w:p>
        </w:tc>
      </w:tr>
      <w:tr w:rsidR="005A38E7" w:rsidRPr="00A81DB1" w14:paraId="28C4C062" w14:textId="77777777" w:rsidTr="00DB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600C08BB" w14:textId="77777777" w:rsidR="005A38E7" w:rsidRPr="00C9792D" w:rsidRDefault="005A38E7" w:rsidP="005A38E7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DAC work plan for 2018-19</w:t>
            </w:r>
          </w:p>
        </w:tc>
        <w:tc>
          <w:tcPr>
            <w:tcW w:w="1227" w:type="dxa"/>
            <w:gridSpan w:val="2"/>
          </w:tcPr>
          <w:p w14:paraId="48B7C9CC" w14:textId="7862B06B" w:rsidR="005A38E7" w:rsidRPr="00C9792D" w:rsidRDefault="005A38E7" w:rsidP="005A38E7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Completed</w:t>
            </w:r>
          </w:p>
        </w:tc>
        <w:tc>
          <w:tcPr>
            <w:tcW w:w="3582" w:type="dxa"/>
            <w:gridSpan w:val="2"/>
          </w:tcPr>
          <w:p w14:paraId="4DC5651C" w14:textId="77777777" w:rsidR="005A38E7" w:rsidRPr="00C9792D" w:rsidRDefault="005A38E7" w:rsidP="005A38E7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5A38E7" w:rsidRPr="00A81DB1" w14:paraId="7459C169" w14:textId="77777777" w:rsidTr="00DB054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</w:tcPr>
          <w:p w14:paraId="19696239" w14:textId="1B02844B" w:rsidR="005A38E7" w:rsidRPr="00C9792D" w:rsidRDefault="005A38E7" w:rsidP="005A38E7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DAC Group to review and improve DAC components of MEDIN website.  Implementation of changes.</w:t>
            </w:r>
          </w:p>
        </w:tc>
        <w:tc>
          <w:tcPr>
            <w:tcW w:w="1227" w:type="dxa"/>
            <w:gridSpan w:val="2"/>
          </w:tcPr>
          <w:p w14:paraId="7AE9F494" w14:textId="15A06170" w:rsidR="005A38E7" w:rsidRPr="00C9792D" w:rsidRDefault="000F3EDE" w:rsidP="000F3EDE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On track</w:t>
            </w:r>
          </w:p>
        </w:tc>
        <w:tc>
          <w:tcPr>
            <w:tcW w:w="3582" w:type="dxa"/>
            <w:gridSpan w:val="2"/>
          </w:tcPr>
          <w:p w14:paraId="7C58C3BA" w14:textId="1F6F6ABA" w:rsidR="005A38E7" w:rsidRPr="00C9792D" w:rsidRDefault="005A38E7" w:rsidP="000F3EDE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9792D">
              <w:rPr>
                <w:rFonts w:asciiTheme="minorHAnsi" w:hAnsiTheme="minorHAnsi"/>
                <w:color w:val="auto"/>
                <w:sz w:val="20"/>
                <w:szCs w:val="20"/>
              </w:rPr>
              <w:t>Brought forward from Q2</w:t>
            </w:r>
            <w:r w:rsidR="000F3ED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. New website structure described at MEDIN Mega Meeting in Nov 2017. Website restructure underway. </w:t>
            </w:r>
            <w:r w:rsidR="00EA743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DAC group to </w:t>
            </w:r>
            <w:proofErr w:type="gramStart"/>
            <w:r w:rsidR="00EA743C">
              <w:rPr>
                <w:rFonts w:asciiTheme="minorHAnsi" w:hAnsiTheme="minorHAnsi"/>
                <w:color w:val="auto"/>
                <w:sz w:val="20"/>
                <w:szCs w:val="20"/>
              </w:rPr>
              <w:t>be consulted</w:t>
            </w:r>
            <w:proofErr w:type="gramEnd"/>
            <w:r w:rsidR="00EA743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by end March 2018.</w:t>
            </w:r>
          </w:p>
        </w:tc>
      </w:tr>
    </w:tbl>
    <w:p w14:paraId="61B2D23B" w14:textId="65A85644" w:rsidR="00272623" w:rsidRPr="00E748D0" w:rsidRDefault="00272623" w:rsidP="00E748D0">
      <w:pPr>
        <w:rPr>
          <w:rFonts w:ascii="Arial" w:hAnsi="Arial"/>
          <w:b/>
          <w:snapToGrid w:val="0"/>
          <w:color w:val="FFFFFF" w:themeColor="background1"/>
        </w:rPr>
      </w:pPr>
    </w:p>
    <w:bookmarkEnd w:id="1"/>
    <w:sectPr w:rsidR="00272623" w:rsidRPr="00E748D0" w:rsidSect="00EF1F61">
      <w:headerReference w:type="default" r:id="rId8"/>
      <w:footerReference w:type="default" r:id="rId9"/>
      <w:type w:val="continuous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806E9" w14:textId="77777777" w:rsidR="006E762F" w:rsidRDefault="006E762F">
      <w:r>
        <w:separator/>
      </w:r>
    </w:p>
  </w:endnote>
  <w:endnote w:type="continuationSeparator" w:id="0">
    <w:p w14:paraId="1B0E2307" w14:textId="77777777" w:rsidR="006E762F" w:rsidRDefault="006E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D732" w14:textId="0FC67320" w:rsidR="006E762F" w:rsidRDefault="006E762F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DATE \@ "dd/MM/yyyy" </w:instrText>
    </w:r>
    <w:r>
      <w:rPr>
        <w:rFonts w:ascii="Arial" w:hAnsi="Arial"/>
        <w:sz w:val="20"/>
      </w:rPr>
      <w:fldChar w:fldCharType="separate"/>
    </w:r>
    <w:r w:rsidR="007E131F">
      <w:rPr>
        <w:rFonts w:ascii="Arial" w:hAnsi="Arial"/>
        <w:noProof/>
        <w:sz w:val="20"/>
      </w:rPr>
      <w:t>16/04/2018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Page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B10FB4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 xml:space="preserve"> of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NUMPAGES </w:instrText>
    </w:r>
    <w:r>
      <w:rPr>
        <w:rStyle w:val="PageNumber"/>
        <w:rFonts w:ascii="Arial" w:hAnsi="Arial"/>
        <w:sz w:val="20"/>
      </w:rPr>
      <w:fldChar w:fldCharType="separate"/>
    </w:r>
    <w:r w:rsidR="00B10FB4">
      <w:rPr>
        <w:rStyle w:val="PageNumber"/>
        <w:rFonts w:ascii="Arial" w:hAnsi="Arial"/>
        <w:noProof/>
        <w:sz w:val="20"/>
      </w:rPr>
      <w:t>3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DC438" w14:textId="77777777" w:rsidR="006E762F" w:rsidRDefault="006E762F">
      <w:r>
        <w:separator/>
      </w:r>
    </w:p>
  </w:footnote>
  <w:footnote w:type="continuationSeparator" w:id="0">
    <w:p w14:paraId="7F8BCA4F" w14:textId="77777777" w:rsidR="006E762F" w:rsidRDefault="006E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F925" w14:textId="77777777" w:rsidR="006E762F" w:rsidRDefault="006E762F" w:rsidP="00EF1F61">
    <w:pPr>
      <w:pStyle w:val="Header"/>
      <w:spacing w:before="120"/>
      <w:jc w:val="righ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2EEBB50E" wp14:editId="238DA64A">
          <wp:simplePos x="0" y="0"/>
          <wp:positionH relativeFrom="column">
            <wp:posOffset>-36195</wp:posOffset>
          </wp:positionH>
          <wp:positionV relativeFrom="paragraph">
            <wp:posOffset>-223520</wp:posOffset>
          </wp:positionV>
          <wp:extent cx="1612900" cy="533400"/>
          <wp:effectExtent l="19050" t="0" r="6350" b="0"/>
          <wp:wrapNone/>
          <wp:docPr id="1" name="Picture 2" descr="Med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n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31F"/>
    <w:multiLevelType w:val="hybridMultilevel"/>
    <w:tmpl w:val="2BA81F1E"/>
    <w:lvl w:ilvl="0" w:tplc="EDBE35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772"/>
    <w:multiLevelType w:val="multilevel"/>
    <w:tmpl w:val="FBA6D40A"/>
    <w:lvl w:ilvl="0">
      <w:start w:val="1"/>
      <w:numFmt w:val="upperLetter"/>
      <w:pStyle w:val="Appendix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0FF3A32"/>
    <w:multiLevelType w:val="multilevel"/>
    <w:tmpl w:val="A95CBF0E"/>
    <w:lvl w:ilvl="0">
      <w:start w:val="1"/>
      <w:numFmt w:val="bullet"/>
      <w:pStyle w:val="NumPara5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Restart w:val="0"/>
      <w:pStyle w:val="NumPara5"/>
      <w:lvlText w:val="5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984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3447"/>
        </w:tabs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527" w:hanging="1440"/>
      </w:pPr>
      <w:rPr>
        <w:rFonts w:hint="default"/>
      </w:rPr>
    </w:lvl>
  </w:abstractNum>
  <w:abstractNum w:abstractNumId="3" w15:restartNumberingAfterBreak="0">
    <w:nsid w:val="114D677A"/>
    <w:multiLevelType w:val="multilevel"/>
    <w:tmpl w:val="0DFAA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087F15"/>
    <w:multiLevelType w:val="hybridMultilevel"/>
    <w:tmpl w:val="25CEA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51874"/>
    <w:multiLevelType w:val="multilevel"/>
    <w:tmpl w:val="EBBAE7D8"/>
    <w:lvl w:ilvl="0">
      <w:start w:val="1"/>
      <w:numFmt w:val="decimal"/>
      <w:pStyle w:val="NumPara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Para7"/>
      <w:lvlText w:val="7.%2"/>
      <w:lvlJc w:val="left"/>
      <w:pPr>
        <w:tabs>
          <w:tab w:val="num" w:pos="360"/>
        </w:tabs>
        <w:ind w:left="72" w:hanging="72"/>
      </w:pPr>
      <w:rPr>
        <w:rFonts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600" w:hanging="1440"/>
      </w:pPr>
      <w:rPr>
        <w:rFonts w:hint="default"/>
      </w:rPr>
    </w:lvl>
  </w:abstractNum>
  <w:abstractNum w:abstractNumId="6" w15:restartNumberingAfterBreak="0">
    <w:nsid w:val="2AA6566F"/>
    <w:multiLevelType w:val="hybridMultilevel"/>
    <w:tmpl w:val="C9267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333C4"/>
    <w:multiLevelType w:val="multilevel"/>
    <w:tmpl w:val="0346DEC8"/>
    <w:lvl w:ilvl="0">
      <w:start w:val="1"/>
      <w:numFmt w:val="decimal"/>
      <w:pStyle w:val="NumPara4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NumPara4"/>
      <w:lvlText w:val="4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8" w15:restartNumberingAfterBreak="0">
    <w:nsid w:val="399D7EDD"/>
    <w:multiLevelType w:val="hybridMultilevel"/>
    <w:tmpl w:val="548C0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85307"/>
    <w:multiLevelType w:val="multilevel"/>
    <w:tmpl w:val="889C4EA2"/>
    <w:lvl w:ilvl="0">
      <w:start w:val="1"/>
      <w:numFmt w:val="decimal"/>
      <w:pStyle w:val="NumPara3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NumPara3"/>
      <w:lvlText w:val="3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10" w15:restartNumberingAfterBreak="0">
    <w:nsid w:val="3D7C0B6E"/>
    <w:multiLevelType w:val="hybridMultilevel"/>
    <w:tmpl w:val="175EE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37DF7"/>
    <w:multiLevelType w:val="hybridMultilevel"/>
    <w:tmpl w:val="A490D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62D92"/>
    <w:multiLevelType w:val="multilevel"/>
    <w:tmpl w:val="C608A0B4"/>
    <w:lvl w:ilvl="0">
      <w:start w:val="1"/>
      <w:numFmt w:val="decimal"/>
      <w:pStyle w:val="NumPara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NumPara"/>
      <w:lvlText w:val="%1.%2"/>
      <w:lvlJc w:val="left"/>
      <w:pPr>
        <w:tabs>
          <w:tab w:val="num" w:pos="1080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8EF2075"/>
    <w:multiLevelType w:val="hybridMultilevel"/>
    <w:tmpl w:val="B772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56DC0"/>
    <w:multiLevelType w:val="hybridMultilevel"/>
    <w:tmpl w:val="880E132C"/>
    <w:lvl w:ilvl="0" w:tplc="CE985830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B5A"/>
    <w:multiLevelType w:val="multilevel"/>
    <w:tmpl w:val="D3F84876"/>
    <w:lvl w:ilvl="0">
      <w:start w:val="1"/>
      <w:numFmt w:val="decimal"/>
      <w:pStyle w:val="NumPara8"/>
      <w:lvlText w:val="8.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>
      <w:start w:val="1"/>
      <w:numFmt w:val="decimal"/>
      <w:pStyle w:val="NumPara8"/>
      <w:lvlText w:val="8.%2"/>
      <w:lvlJc w:val="left"/>
      <w:pPr>
        <w:tabs>
          <w:tab w:val="num" w:pos="1077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3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317" w:hanging="1440"/>
      </w:pPr>
      <w:rPr>
        <w:rFonts w:hint="default"/>
      </w:rPr>
    </w:lvl>
  </w:abstractNum>
  <w:abstractNum w:abstractNumId="16" w15:restartNumberingAfterBreak="0">
    <w:nsid w:val="67060D94"/>
    <w:multiLevelType w:val="multilevel"/>
    <w:tmpl w:val="A836BD88"/>
    <w:lvl w:ilvl="0">
      <w:start w:val="1"/>
      <w:numFmt w:val="bullet"/>
      <w:pStyle w:val="NumPara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Restart w:val="0"/>
      <w:pStyle w:val="NumPara2"/>
      <w:lvlText w:val="2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984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3447"/>
        </w:tabs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527" w:hanging="1440"/>
      </w:pPr>
      <w:rPr>
        <w:rFonts w:hint="default"/>
      </w:rPr>
    </w:lvl>
  </w:abstractNum>
  <w:abstractNum w:abstractNumId="17" w15:restartNumberingAfterBreak="0">
    <w:nsid w:val="6A273403"/>
    <w:multiLevelType w:val="multilevel"/>
    <w:tmpl w:val="1BBE8A10"/>
    <w:lvl w:ilvl="0">
      <w:start w:val="1"/>
      <w:numFmt w:val="decimal"/>
      <w:pStyle w:val="NumPara6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NumPara6"/>
      <w:lvlText w:val="6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18" w15:restartNumberingAfterBreak="0">
    <w:nsid w:val="710E7F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4616DD"/>
    <w:multiLevelType w:val="multilevel"/>
    <w:tmpl w:val="0A64E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5C5EDB"/>
    <w:multiLevelType w:val="multilevel"/>
    <w:tmpl w:val="9710B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427DE3"/>
    <w:multiLevelType w:val="multilevel"/>
    <w:tmpl w:val="D5303976"/>
    <w:lvl w:ilvl="0">
      <w:start w:val="1"/>
      <w:numFmt w:val="decimal"/>
      <w:pStyle w:val="NumPara9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>
      <w:start w:val="1"/>
      <w:numFmt w:val="decimal"/>
      <w:pStyle w:val="NumPara9"/>
      <w:lvlText w:val="9.%2"/>
      <w:lvlJc w:val="left"/>
      <w:pPr>
        <w:tabs>
          <w:tab w:val="num" w:pos="1077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3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317" w:hanging="1440"/>
      </w:pPr>
      <w:rPr>
        <w:rFonts w:hint="default"/>
      </w:rPr>
    </w:lvl>
  </w:abstractNum>
  <w:abstractNum w:abstractNumId="22" w15:restartNumberingAfterBreak="0">
    <w:nsid w:val="779274E2"/>
    <w:multiLevelType w:val="multilevel"/>
    <w:tmpl w:val="1EA88688"/>
    <w:lvl w:ilvl="0">
      <w:start w:val="1"/>
      <w:numFmt w:val="decimal"/>
      <w:pStyle w:val="BulletPoints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Text w:val="%2%1.1"/>
      <w:lvlJc w:val="left"/>
      <w:pPr>
        <w:tabs>
          <w:tab w:val="num" w:pos="1004"/>
        </w:tabs>
        <w:ind w:left="284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bullet"/>
      <w:pStyle w:val="BulletPoints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44"/>
        </w:tabs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4"/>
        </w:tabs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4"/>
        </w:tabs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244" w:hanging="144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5"/>
  </w:num>
  <w:num w:numId="5">
    <w:abstractNumId w:val="21"/>
  </w:num>
  <w:num w:numId="6">
    <w:abstractNumId w:val="12"/>
  </w:num>
  <w:num w:numId="7">
    <w:abstractNumId w:val="16"/>
  </w:num>
  <w:num w:numId="8">
    <w:abstractNumId w:val="15"/>
  </w:num>
  <w:num w:numId="9">
    <w:abstractNumId w:val="9"/>
  </w:num>
  <w:num w:numId="10">
    <w:abstractNumId w:val="2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9"/>
  </w:num>
  <w:num w:numId="15">
    <w:abstractNumId w:val="3"/>
  </w:num>
  <w:num w:numId="16">
    <w:abstractNumId w:val="4"/>
  </w:num>
  <w:num w:numId="17">
    <w:abstractNumId w:val="10"/>
  </w:num>
  <w:num w:numId="18">
    <w:abstractNumId w:val="8"/>
  </w:num>
  <w:num w:numId="19">
    <w:abstractNumId w:val="13"/>
  </w:num>
  <w:num w:numId="20">
    <w:abstractNumId w:val="6"/>
  </w:num>
  <w:num w:numId="21">
    <w:abstractNumId w:val="11"/>
  </w:num>
  <w:num w:numId="22">
    <w:abstractNumId w:val="14"/>
  </w:num>
  <w:num w:numId="23">
    <w:abstractNumId w:val="17"/>
  </w:num>
  <w:num w:numId="2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53"/>
    <w:rsid w:val="0001008F"/>
    <w:rsid w:val="00010D2F"/>
    <w:rsid w:val="00011038"/>
    <w:rsid w:val="00012E53"/>
    <w:rsid w:val="00015816"/>
    <w:rsid w:val="0001617A"/>
    <w:rsid w:val="00023BE6"/>
    <w:rsid w:val="00027601"/>
    <w:rsid w:val="00030B20"/>
    <w:rsid w:val="00030D5A"/>
    <w:rsid w:val="00032F4A"/>
    <w:rsid w:val="00034B0E"/>
    <w:rsid w:val="00034C6A"/>
    <w:rsid w:val="0004292B"/>
    <w:rsid w:val="0004465A"/>
    <w:rsid w:val="00050D37"/>
    <w:rsid w:val="00053473"/>
    <w:rsid w:val="00053940"/>
    <w:rsid w:val="00054327"/>
    <w:rsid w:val="000553A6"/>
    <w:rsid w:val="00057C70"/>
    <w:rsid w:val="00062A94"/>
    <w:rsid w:val="000631EB"/>
    <w:rsid w:val="00063D67"/>
    <w:rsid w:val="000644BD"/>
    <w:rsid w:val="00067B0A"/>
    <w:rsid w:val="00071A0B"/>
    <w:rsid w:val="000722DC"/>
    <w:rsid w:val="00075CF4"/>
    <w:rsid w:val="00081128"/>
    <w:rsid w:val="000820B2"/>
    <w:rsid w:val="0008224B"/>
    <w:rsid w:val="0009117F"/>
    <w:rsid w:val="00091911"/>
    <w:rsid w:val="000926FF"/>
    <w:rsid w:val="00092E14"/>
    <w:rsid w:val="00093CA5"/>
    <w:rsid w:val="000941C2"/>
    <w:rsid w:val="00095AFB"/>
    <w:rsid w:val="00097B9F"/>
    <w:rsid w:val="000A0B18"/>
    <w:rsid w:val="000A2FF5"/>
    <w:rsid w:val="000A7253"/>
    <w:rsid w:val="000B1CA0"/>
    <w:rsid w:val="000B365E"/>
    <w:rsid w:val="000B5BB4"/>
    <w:rsid w:val="000B7CB6"/>
    <w:rsid w:val="000C0566"/>
    <w:rsid w:val="000C20F1"/>
    <w:rsid w:val="000C5FF4"/>
    <w:rsid w:val="000C67F2"/>
    <w:rsid w:val="000C6974"/>
    <w:rsid w:val="000D1023"/>
    <w:rsid w:val="000D1E89"/>
    <w:rsid w:val="000D37AB"/>
    <w:rsid w:val="000D6274"/>
    <w:rsid w:val="000D68C3"/>
    <w:rsid w:val="000D6E7B"/>
    <w:rsid w:val="000E10F8"/>
    <w:rsid w:val="000E1829"/>
    <w:rsid w:val="000E1FE6"/>
    <w:rsid w:val="000E2BDF"/>
    <w:rsid w:val="000E7231"/>
    <w:rsid w:val="000F3EDE"/>
    <w:rsid w:val="000F4034"/>
    <w:rsid w:val="000F44A4"/>
    <w:rsid w:val="000F7233"/>
    <w:rsid w:val="000F7F3B"/>
    <w:rsid w:val="00100C3B"/>
    <w:rsid w:val="0010232C"/>
    <w:rsid w:val="00102522"/>
    <w:rsid w:val="00104C9C"/>
    <w:rsid w:val="0010532E"/>
    <w:rsid w:val="00105CC8"/>
    <w:rsid w:val="00106725"/>
    <w:rsid w:val="00111D01"/>
    <w:rsid w:val="001131ED"/>
    <w:rsid w:val="00114450"/>
    <w:rsid w:val="00115549"/>
    <w:rsid w:val="001175F6"/>
    <w:rsid w:val="0012355D"/>
    <w:rsid w:val="00123C5E"/>
    <w:rsid w:val="00123DBC"/>
    <w:rsid w:val="00125D41"/>
    <w:rsid w:val="0012630C"/>
    <w:rsid w:val="00126D94"/>
    <w:rsid w:val="001279F6"/>
    <w:rsid w:val="00127F75"/>
    <w:rsid w:val="00130BA8"/>
    <w:rsid w:val="001313AC"/>
    <w:rsid w:val="001343AE"/>
    <w:rsid w:val="00134AD7"/>
    <w:rsid w:val="0013502B"/>
    <w:rsid w:val="0013673C"/>
    <w:rsid w:val="00140B9F"/>
    <w:rsid w:val="0014108C"/>
    <w:rsid w:val="00141343"/>
    <w:rsid w:val="00142088"/>
    <w:rsid w:val="00144165"/>
    <w:rsid w:val="00144CA4"/>
    <w:rsid w:val="00151317"/>
    <w:rsid w:val="001518E8"/>
    <w:rsid w:val="00153A7C"/>
    <w:rsid w:val="00153F70"/>
    <w:rsid w:val="00155937"/>
    <w:rsid w:val="00157642"/>
    <w:rsid w:val="00161882"/>
    <w:rsid w:val="00163476"/>
    <w:rsid w:val="00163673"/>
    <w:rsid w:val="00170B26"/>
    <w:rsid w:val="001729DF"/>
    <w:rsid w:val="001735F8"/>
    <w:rsid w:val="00174828"/>
    <w:rsid w:val="001757EA"/>
    <w:rsid w:val="0017745B"/>
    <w:rsid w:val="0017747F"/>
    <w:rsid w:val="001823AD"/>
    <w:rsid w:val="00184988"/>
    <w:rsid w:val="00185F83"/>
    <w:rsid w:val="00186572"/>
    <w:rsid w:val="001868E5"/>
    <w:rsid w:val="001918AB"/>
    <w:rsid w:val="00191F89"/>
    <w:rsid w:val="001922F9"/>
    <w:rsid w:val="001940E4"/>
    <w:rsid w:val="001949A9"/>
    <w:rsid w:val="001960FC"/>
    <w:rsid w:val="00196861"/>
    <w:rsid w:val="00196AE6"/>
    <w:rsid w:val="00197522"/>
    <w:rsid w:val="001A0445"/>
    <w:rsid w:val="001A0C1D"/>
    <w:rsid w:val="001A1327"/>
    <w:rsid w:val="001A7521"/>
    <w:rsid w:val="001B18D8"/>
    <w:rsid w:val="001B59CB"/>
    <w:rsid w:val="001C26A0"/>
    <w:rsid w:val="001C31F4"/>
    <w:rsid w:val="001C3D54"/>
    <w:rsid w:val="001C4D41"/>
    <w:rsid w:val="001D1979"/>
    <w:rsid w:val="001D1BDE"/>
    <w:rsid w:val="001D2D73"/>
    <w:rsid w:val="001D35AF"/>
    <w:rsid w:val="001D5967"/>
    <w:rsid w:val="001D72BD"/>
    <w:rsid w:val="001E0046"/>
    <w:rsid w:val="001E00E3"/>
    <w:rsid w:val="001E09AD"/>
    <w:rsid w:val="001E1547"/>
    <w:rsid w:val="001E307A"/>
    <w:rsid w:val="001E5191"/>
    <w:rsid w:val="001E6AFB"/>
    <w:rsid w:val="001E7F30"/>
    <w:rsid w:val="001F2C07"/>
    <w:rsid w:val="001F2C12"/>
    <w:rsid w:val="001F5330"/>
    <w:rsid w:val="002030DD"/>
    <w:rsid w:val="00203A79"/>
    <w:rsid w:val="002040BA"/>
    <w:rsid w:val="002077BF"/>
    <w:rsid w:val="0021070A"/>
    <w:rsid w:val="00210F90"/>
    <w:rsid w:val="00212599"/>
    <w:rsid w:val="00214F7D"/>
    <w:rsid w:val="00221B27"/>
    <w:rsid w:val="00223675"/>
    <w:rsid w:val="00223861"/>
    <w:rsid w:val="00224477"/>
    <w:rsid w:val="002301C7"/>
    <w:rsid w:val="0023075D"/>
    <w:rsid w:val="00233888"/>
    <w:rsid w:val="002363B5"/>
    <w:rsid w:val="002440DD"/>
    <w:rsid w:val="00245858"/>
    <w:rsid w:val="00246380"/>
    <w:rsid w:val="00246BA3"/>
    <w:rsid w:val="00251C9C"/>
    <w:rsid w:val="002524D8"/>
    <w:rsid w:val="002532A6"/>
    <w:rsid w:val="00255228"/>
    <w:rsid w:val="002559A8"/>
    <w:rsid w:val="0025648B"/>
    <w:rsid w:val="002603D9"/>
    <w:rsid w:val="00260732"/>
    <w:rsid w:val="00261050"/>
    <w:rsid w:val="0026315A"/>
    <w:rsid w:val="00265121"/>
    <w:rsid w:val="0027055F"/>
    <w:rsid w:val="00272623"/>
    <w:rsid w:val="002809FA"/>
    <w:rsid w:val="00281966"/>
    <w:rsid w:val="00282A4E"/>
    <w:rsid w:val="00282C7C"/>
    <w:rsid w:val="00287FA0"/>
    <w:rsid w:val="002912CD"/>
    <w:rsid w:val="00292645"/>
    <w:rsid w:val="00294649"/>
    <w:rsid w:val="00294F6D"/>
    <w:rsid w:val="002A1076"/>
    <w:rsid w:val="002A185B"/>
    <w:rsid w:val="002A1A21"/>
    <w:rsid w:val="002A26D1"/>
    <w:rsid w:val="002A41DB"/>
    <w:rsid w:val="002A5A3C"/>
    <w:rsid w:val="002A76C6"/>
    <w:rsid w:val="002A7767"/>
    <w:rsid w:val="002A7774"/>
    <w:rsid w:val="002B1068"/>
    <w:rsid w:val="002B1523"/>
    <w:rsid w:val="002B25AB"/>
    <w:rsid w:val="002C0198"/>
    <w:rsid w:val="002C1BBA"/>
    <w:rsid w:val="002C382E"/>
    <w:rsid w:val="002C38E8"/>
    <w:rsid w:val="002C4139"/>
    <w:rsid w:val="002C6C18"/>
    <w:rsid w:val="002D0A1E"/>
    <w:rsid w:val="002D0E9F"/>
    <w:rsid w:val="002D443E"/>
    <w:rsid w:val="002D4629"/>
    <w:rsid w:val="002D49C9"/>
    <w:rsid w:val="002D71CC"/>
    <w:rsid w:val="002E0562"/>
    <w:rsid w:val="002E12EB"/>
    <w:rsid w:val="002E185C"/>
    <w:rsid w:val="002E4FDD"/>
    <w:rsid w:val="002E6199"/>
    <w:rsid w:val="002F07BA"/>
    <w:rsid w:val="002F1AC0"/>
    <w:rsid w:val="002F3F61"/>
    <w:rsid w:val="002F443D"/>
    <w:rsid w:val="002F5CB2"/>
    <w:rsid w:val="002F5E8A"/>
    <w:rsid w:val="002F70D3"/>
    <w:rsid w:val="002F7EBD"/>
    <w:rsid w:val="00300F71"/>
    <w:rsid w:val="00302AF3"/>
    <w:rsid w:val="00307621"/>
    <w:rsid w:val="003107B0"/>
    <w:rsid w:val="0031316E"/>
    <w:rsid w:val="00315559"/>
    <w:rsid w:val="00315F28"/>
    <w:rsid w:val="00316BCC"/>
    <w:rsid w:val="00321FF1"/>
    <w:rsid w:val="00323417"/>
    <w:rsid w:val="0032343A"/>
    <w:rsid w:val="00324710"/>
    <w:rsid w:val="003300FF"/>
    <w:rsid w:val="0033052B"/>
    <w:rsid w:val="00330536"/>
    <w:rsid w:val="003323C4"/>
    <w:rsid w:val="00334BDF"/>
    <w:rsid w:val="00334D48"/>
    <w:rsid w:val="00335378"/>
    <w:rsid w:val="00336145"/>
    <w:rsid w:val="00340522"/>
    <w:rsid w:val="0034288B"/>
    <w:rsid w:val="00343576"/>
    <w:rsid w:val="00345EA7"/>
    <w:rsid w:val="00346530"/>
    <w:rsid w:val="003472C4"/>
    <w:rsid w:val="00353CB7"/>
    <w:rsid w:val="00354ECC"/>
    <w:rsid w:val="0035540B"/>
    <w:rsid w:val="00356A40"/>
    <w:rsid w:val="00362734"/>
    <w:rsid w:val="003632A2"/>
    <w:rsid w:val="003641DB"/>
    <w:rsid w:val="0036475B"/>
    <w:rsid w:val="00364A38"/>
    <w:rsid w:val="00366240"/>
    <w:rsid w:val="0036707E"/>
    <w:rsid w:val="0036724F"/>
    <w:rsid w:val="003706A5"/>
    <w:rsid w:val="0037492A"/>
    <w:rsid w:val="00376DEE"/>
    <w:rsid w:val="00381B79"/>
    <w:rsid w:val="00381BF8"/>
    <w:rsid w:val="00384055"/>
    <w:rsid w:val="0038577A"/>
    <w:rsid w:val="0038674F"/>
    <w:rsid w:val="0038798C"/>
    <w:rsid w:val="00390C1A"/>
    <w:rsid w:val="00392678"/>
    <w:rsid w:val="00394D67"/>
    <w:rsid w:val="003A0630"/>
    <w:rsid w:val="003A3548"/>
    <w:rsid w:val="003A5394"/>
    <w:rsid w:val="003A659C"/>
    <w:rsid w:val="003B2749"/>
    <w:rsid w:val="003B3160"/>
    <w:rsid w:val="003B4C29"/>
    <w:rsid w:val="003B5130"/>
    <w:rsid w:val="003B7970"/>
    <w:rsid w:val="003C5379"/>
    <w:rsid w:val="003D0395"/>
    <w:rsid w:val="003D0F3A"/>
    <w:rsid w:val="003D26AA"/>
    <w:rsid w:val="003D2B1F"/>
    <w:rsid w:val="003D2F2C"/>
    <w:rsid w:val="003D4736"/>
    <w:rsid w:val="003E1C3E"/>
    <w:rsid w:val="003E1D5A"/>
    <w:rsid w:val="003E63F7"/>
    <w:rsid w:val="003E67FA"/>
    <w:rsid w:val="003E686C"/>
    <w:rsid w:val="003E6D6F"/>
    <w:rsid w:val="003E7ED7"/>
    <w:rsid w:val="003F1D49"/>
    <w:rsid w:val="003F37E7"/>
    <w:rsid w:val="003F4D73"/>
    <w:rsid w:val="003F5656"/>
    <w:rsid w:val="003F6A80"/>
    <w:rsid w:val="00400714"/>
    <w:rsid w:val="0040186B"/>
    <w:rsid w:val="00401CFC"/>
    <w:rsid w:val="00402DF6"/>
    <w:rsid w:val="00403BDE"/>
    <w:rsid w:val="00406488"/>
    <w:rsid w:val="004070DA"/>
    <w:rsid w:val="0040727F"/>
    <w:rsid w:val="00413C8A"/>
    <w:rsid w:val="004209FB"/>
    <w:rsid w:val="0042185D"/>
    <w:rsid w:val="00421AB1"/>
    <w:rsid w:val="00422CF6"/>
    <w:rsid w:val="00424432"/>
    <w:rsid w:val="004244D9"/>
    <w:rsid w:val="00424F4D"/>
    <w:rsid w:val="00425499"/>
    <w:rsid w:val="004255C2"/>
    <w:rsid w:val="00427322"/>
    <w:rsid w:val="00430C7C"/>
    <w:rsid w:val="0043141E"/>
    <w:rsid w:val="00436BB6"/>
    <w:rsid w:val="004416C7"/>
    <w:rsid w:val="00442DF2"/>
    <w:rsid w:val="004435D4"/>
    <w:rsid w:val="004443E8"/>
    <w:rsid w:val="0044453F"/>
    <w:rsid w:val="00446461"/>
    <w:rsid w:val="004479E0"/>
    <w:rsid w:val="00451F78"/>
    <w:rsid w:val="0045307E"/>
    <w:rsid w:val="00453221"/>
    <w:rsid w:val="004533E7"/>
    <w:rsid w:val="00454E63"/>
    <w:rsid w:val="0045662E"/>
    <w:rsid w:val="004573ED"/>
    <w:rsid w:val="004614F1"/>
    <w:rsid w:val="00463EBF"/>
    <w:rsid w:val="00465610"/>
    <w:rsid w:val="004720A4"/>
    <w:rsid w:val="004720BE"/>
    <w:rsid w:val="004744CE"/>
    <w:rsid w:val="004767BC"/>
    <w:rsid w:val="004768AC"/>
    <w:rsid w:val="004812EF"/>
    <w:rsid w:val="00482CE3"/>
    <w:rsid w:val="00483074"/>
    <w:rsid w:val="00484DC2"/>
    <w:rsid w:val="004866A8"/>
    <w:rsid w:val="00486FBD"/>
    <w:rsid w:val="00487CA4"/>
    <w:rsid w:val="00490C35"/>
    <w:rsid w:val="004927C4"/>
    <w:rsid w:val="00494941"/>
    <w:rsid w:val="00494C4D"/>
    <w:rsid w:val="00496256"/>
    <w:rsid w:val="0049721C"/>
    <w:rsid w:val="004A2C27"/>
    <w:rsid w:val="004A2DCC"/>
    <w:rsid w:val="004B0553"/>
    <w:rsid w:val="004B4D6B"/>
    <w:rsid w:val="004B675E"/>
    <w:rsid w:val="004B709F"/>
    <w:rsid w:val="004C18B8"/>
    <w:rsid w:val="004C2CF5"/>
    <w:rsid w:val="004C3563"/>
    <w:rsid w:val="004C4186"/>
    <w:rsid w:val="004C5CCE"/>
    <w:rsid w:val="004D1026"/>
    <w:rsid w:val="004D437F"/>
    <w:rsid w:val="004D5104"/>
    <w:rsid w:val="004D6FF4"/>
    <w:rsid w:val="004E22B9"/>
    <w:rsid w:val="004E2CFA"/>
    <w:rsid w:val="004E560D"/>
    <w:rsid w:val="004E730A"/>
    <w:rsid w:val="004F1763"/>
    <w:rsid w:val="004F2B30"/>
    <w:rsid w:val="004F2DD4"/>
    <w:rsid w:val="004F338C"/>
    <w:rsid w:val="004F5115"/>
    <w:rsid w:val="004F61F1"/>
    <w:rsid w:val="004F7F8E"/>
    <w:rsid w:val="005007E7"/>
    <w:rsid w:val="00501660"/>
    <w:rsid w:val="00502810"/>
    <w:rsid w:val="00504092"/>
    <w:rsid w:val="00507038"/>
    <w:rsid w:val="00511380"/>
    <w:rsid w:val="00513484"/>
    <w:rsid w:val="0051389D"/>
    <w:rsid w:val="005140AB"/>
    <w:rsid w:val="00514330"/>
    <w:rsid w:val="00515139"/>
    <w:rsid w:val="005152FE"/>
    <w:rsid w:val="0052183C"/>
    <w:rsid w:val="005224BE"/>
    <w:rsid w:val="00530B32"/>
    <w:rsid w:val="00532DA0"/>
    <w:rsid w:val="005351AB"/>
    <w:rsid w:val="005366F9"/>
    <w:rsid w:val="00537E66"/>
    <w:rsid w:val="0054355A"/>
    <w:rsid w:val="005438BC"/>
    <w:rsid w:val="0054686A"/>
    <w:rsid w:val="00547D8F"/>
    <w:rsid w:val="005648A1"/>
    <w:rsid w:val="00567543"/>
    <w:rsid w:val="005676AD"/>
    <w:rsid w:val="00571397"/>
    <w:rsid w:val="0057180A"/>
    <w:rsid w:val="005731EE"/>
    <w:rsid w:val="005744F3"/>
    <w:rsid w:val="005745F4"/>
    <w:rsid w:val="00575AE1"/>
    <w:rsid w:val="005769EE"/>
    <w:rsid w:val="00577C31"/>
    <w:rsid w:val="005801B0"/>
    <w:rsid w:val="005817BF"/>
    <w:rsid w:val="00581F13"/>
    <w:rsid w:val="005825B2"/>
    <w:rsid w:val="00586B30"/>
    <w:rsid w:val="005872ED"/>
    <w:rsid w:val="0059059D"/>
    <w:rsid w:val="00592527"/>
    <w:rsid w:val="005946FD"/>
    <w:rsid w:val="0059625C"/>
    <w:rsid w:val="00597B62"/>
    <w:rsid w:val="00597F9B"/>
    <w:rsid w:val="005A0832"/>
    <w:rsid w:val="005A1993"/>
    <w:rsid w:val="005A2427"/>
    <w:rsid w:val="005A38E7"/>
    <w:rsid w:val="005A761D"/>
    <w:rsid w:val="005B0635"/>
    <w:rsid w:val="005B1BCE"/>
    <w:rsid w:val="005B3D26"/>
    <w:rsid w:val="005B58C9"/>
    <w:rsid w:val="005B79C7"/>
    <w:rsid w:val="005C329F"/>
    <w:rsid w:val="005D354F"/>
    <w:rsid w:val="005D369B"/>
    <w:rsid w:val="005D537B"/>
    <w:rsid w:val="005D616A"/>
    <w:rsid w:val="005D6589"/>
    <w:rsid w:val="005D77C1"/>
    <w:rsid w:val="005E031D"/>
    <w:rsid w:val="005E0736"/>
    <w:rsid w:val="005E1C58"/>
    <w:rsid w:val="005E3091"/>
    <w:rsid w:val="005E30D6"/>
    <w:rsid w:val="005E6D1F"/>
    <w:rsid w:val="005E6FDD"/>
    <w:rsid w:val="005F14E2"/>
    <w:rsid w:val="005F478B"/>
    <w:rsid w:val="005F793E"/>
    <w:rsid w:val="006002AF"/>
    <w:rsid w:val="0060386A"/>
    <w:rsid w:val="00603E68"/>
    <w:rsid w:val="00606FAD"/>
    <w:rsid w:val="006108ED"/>
    <w:rsid w:val="00610A99"/>
    <w:rsid w:val="00616264"/>
    <w:rsid w:val="00616C91"/>
    <w:rsid w:val="006225BA"/>
    <w:rsid w:val="00622623"/>
    <w:rsid w:val="006303B7"/>
    <w:rsid w:val="006304CC"/>
    <w:rsid w:val="00631FFF"/>
    <w:rsid w:val="00635EE5"/>
    <w:rsid w:val="00636228"/>
    <w:rsid w:val="00636C92"/>
    <w:rsid w:val="00640D6D"/>
    <w:rsid w:val="006414BB"/>
    <w:rsid w:val="0064262D"/>
    <w:rsid w:val="00642A04"/>
    <w:rsid w:val="00643915"/>
    <w:rsid w:val="00656243"/>
    <w:rsid w:val="00660196"/>
    <w:rsid w:val="006625EA"/>
    <w:rsid w:val="00662F5C"/>
    <w:rsid w:val="0066484B"/>
    <w:rsid w:val="006669CA"/>
    <w:rsid w:val="0067251A"/>
    <w:rsid w:val="00672581"/>
    <w:rsid w:val="00673382"/>
    <w:rsid w:val="00673426"/>
    <w:rsid w:val="006773F6"/>
    <w:rsid w:val="006802AE"/>
    <w:rsid w:val="00680958"/>
    <w:rsid w:val="00680CA9"/>
    <w:rsid w:val="006810A5"/>
    <w:rsid w:val="00685832"/>
    <w:rsid w:val="0068655C"/>
    <w:rsid w:val="0068677F"/>
    <w:rsid w:val="0069013D"/>
    <w:rsid w:val="00691DE1"/>
    <w:rsid w:val="00694B46"/>
    <w:rsid w:val="006A05C5"/>
    <w:rsid w:val="006A28A0"/>
    <w:rsid w:val="006A4FE4"/>
    <w:rsid w:val="006A5BC2"/>
    <w:rsid w:val="006B39E9"/>
    <w:rsid w:val="006B4506"/>
    <w:rsid w:val="006B5EFF"/>
    <w:rsid w:val="006B6CBD"/>
    <w:rsid w:val="006B7E28"/>
    <w:rsid w:val="006C1153"/>
    <w:rsid w:val="006C24F4"/>
    <w:rsid w:val="006D03B6"/>
    <w:rsid w:val="006D1A7F"/>
    <w:rsid w:val="006D32CB"/>
    <w:rsid w:val="006E104D"/>
    <w:rsid w:val="006E22FC"/>
    <w:rsid w:val="006E6247"/>
    <w:rsid w:val="006E762F"/>
    <w:rsid w:val="006F25AE"/>
    <w:rsid w:val="006F4A7E"/>
    <w:rsid w:val="006F50CE"/>
    <w:rsid w:val="006F6405"/>
    <w:rsid w:val="00701DA9"/>
    <w:rsid w:val="00704FB4"/>
    <w:rsid w:val="00705CAB"/>
    <w:rsid w:val="00711E6D"/>
    <w:rsid w:val="00712C0B"/>
    <w:rsid w:val="00714D26"/>
    <w:rsid w:val="007222D4"/>
    <w:rsid w:val="00722563"/>
    <w:rsid w:val="00724561"/>
    <w:rsid w:val="00725B50"/>
    <w:rsid w:val="00726A21"/>
    <w:rsid w:val="007304B5"/>
    <w:rsid w:val="0073091E"/>
    <w:rsid w:val="0073349E"/>
    <w:rsid w:val="00733FE9"/>
    <w:rsid w:val="00746D2C"/>
    <w:rsid w:val="007473D9"/>
    <w:rsid w:val="00750DCC"/>
    <w:rsid w:val="007539D2"/>
    <w:rsid w:val="007542E7"/>
    <w:rsid w:val="00756065"/>
    <w:rsid w:val="00760A75"/>
    <w:rsid w:val="007618A6"/>
    <w:rsid w:val="00761ED0"/>
    <w:rsid w:val="00762BC6"/>
    <w:rsid w:val="00765BB1"/>
    <w:rsid w:val="00767383"/>
    <w:rsid w:val="00772423"/>
    <w:rsid w:val="0077379E"/>
    <w:rsid w:val="007746D3"/>
    <w:rsid w:val="00774713"/>
    <w:rsid w:val="00777C9F"/>
    <w:rsid w:val="00777F79"/>
    <w:rsid w:val="007816E7"/>
    <w:rsid w:val="0078189F"/>
    <w:rsid w:val="00786643"/>
    <w:rsid w:val="00786F10"/>
    <w:rsid w:val="00790356"/>
    <w:rsid w:val="00793144"/>
    <w:rsid w:val="00793F98"/>
    <w:rsid w:val="00794634"/>
    <w:rsid w:val="007954F4"/>
    <w:rsid w:val="007A1FFF"/>
    <w:rsid w:val="007A3AB8"/>
    <w:rsid w:val="007B2D5D"/>
    <w:rsid w:val="007B5035"/>
    <w:rsid w:val="007B549D"/>
    <w:rsid w:val="007B7105"/>
    <w:rsid w:val="007B73A9"/>
    <w:rsid w:val="007C05FB"/>
    <w:rsid w:val="007C2164"/>
    <w:rsid w:val="007C37B1"/>
    <w:rsid w:val="007C678C"/>
    <w:rsid w:val="007D06D1"/>
    <w:rsid w:val="007D5780"/>
    <w:rsid w:val="007D5A82"/>
    <w:rsid w:val="007D5FA0"/>
    <w:rsid w:val="007D7EE3"/>
    <w:rsid w:val="007E131F"/>
    <w:rsid w:val="007E14AF"/>
    <w:rsid w:val="007E1668"/>
    <w:rsid w:val="007E16A4"/>
    <w:rsid w:val="007E3ADA"/>
    <w:rsid w:val="007E6218"/>
    <w:rsid w:val="007F0BDF"/>
    <w:rsid w:val="007F1D57"/>
    <w:rsid w:val="007F2347"/>
    <w:rsid w:val="007F4CF3"/>
    <w:rsid w:val="007F4F7C"/>
    <w:rsid w:val="007F522C"/>
    <w:rsid w:val="007F70D3"/>
    <w:rsid w:val="007F7F70"/>
    <w:rsid w:val="00800095"/>
    <w:rsid w:val="0080042C"/>
    <w:rsid w:val="00801C56"/>
    <w:rsid w:val="00802496"/>
    <w:rsid w:val="008047E6"/>
    <w:rsid w:val="008066B3"/>
    <w:rsid w:val="0080704E"/>
    <w:rsid w:val="008130AD"/>
    <w:rsid w:val="00817F06"/>
    <w:rsid w:val="0082133D"/>
    <w:rsid w:val="00821A01"/>
    <w:rsid w:val="00822FA9"/>
    <w:rsid w:val="00823359"/>
    <w:rsid w:val="00824641"/>
    <w:rsid w:val="008248E1"/>
    <w:rsid w:val="008267FB"/>
    <w:rsid w:val="0082753F"/>
    <w:rsid w:val="008301B0"/>
    <w:rsid w:val="008304D7"/>
    <w:rsid w:val="008305C3"/>
    <w:rsid w:val="00833E8D"/>
    <w:rsid w:val="00834EA1"/>
    <w:rsid w:val="008362FA"/>
    <w:rsid w:val="00841773"/>
    <w:rsid w:val="00855328"/>
    <w:rsid w:val="00857F60"/>
    <w:rsid w:val="008644CD"/>
    <w:rsid w:val="00866099"/>
    <w:rsid w:val="00870C5F"/>
    <w:rsid w:val="00871495"/>
    <w:rsid w:val="0087204C"/>
    <w:rsid w:val="00873472"/>
    <w:rsid w:val="0088335D"/>
    <w:rsid w:val="00885AD8"/>
    <w:rsid w:val="00890974"/>
    <w:rsid w:val="0089218D"/>
    <w:rsid w:val="00896104"/>
    <w:rsid w:val="00897508"/>
    <w:rsid w:val="008A2EC4"/>
    <w:rsid w:val="008A3752"/>
    <w:rsid w:val="008A6560"/>
    <w:rsid w:val="008B34BC"/>
    <w:rsid w:val="008B3DF5"/>
    <w:rsid w:val="008B3E86"/>
    <w:rsid w:val="008B49DB"/>
    <w:rsid w:val="008B4D3B"/>
    <w:rsid w:val="008B69C6"/>
    <w:rsid w:val="008C1110"/>
    <w:rsid w:val="008C2B35"/>
    <w:rsid w:val="008C2B95"/>
    <w:rsid w:val="008C40FE"/>
    <w:rsid w:val="008C7882"/>
    <w:rsid w:val="008D1744"/>
    <w:rsid w:val="008D278B"/>
    <w:rsid w:val="008D2D7D"/>
    <w:rsid w:val="008D322B"/>
    <w:rsid w:val="008D3E6E"/>
    <w:rsid w:val="008D5E18"/>
    <w:rsid w:val="008D7842"/>
    <w:rsid w:val="008E296F"/>
    <w:rsid w:val="008E3364"/>
    <w:rsid w:val="008E458C"/>
    <w:rsid w:val="008E658C"/>
    <w:rsid w:val="008E6CE5"/>
    <w:rsid w:val="008F1EC0"/>
    <w:rsid w:val="008F35A9"/>
    <w:rsid w:val="008F59B9"/>
    <w:rsid w:val="008F644F"/>
    <w:rsid w:val="00901D38"/>
    <w:rsid w:val="009048E4"/>
    <w:rsid w:val="00905F7C"/>
    <w:rsid w:val="00906E3B"/>
    <w:rsid w:val="009076C6"/>
    <w:rsid w:val="00907BF6"/>
    <w:rsid w:val="00912091"/>
    <w:rsid w:val="00912643"/>
    <w:rsid w:val="0091281A"/>
    <w:rsid w:val="009131B8"/>
    <w:rsid w:val="00916435"/>
    <w:rsid w:val="00916C83"/>
    <w:rsid w:val="0092062D"/>
    <w:rsid w:val="00920667"/>
    <w:rsid w:val="00922DF0"/>
    <w:rsid w:val="0092561E"/>
    <w:rsid w:val="00925752"/>
    <w:rsid w:val="009258FC"/>
    <w:rsid w:val="00932821"/>
    <w:rsid w:val="00934A90"/>
    <w:rsid w:val="00935384"/>
    <w:rsid w:val="00936796"/>
    <w:rsid w:val="00937580"/>
    <w:rsid w:val="0094088C"/>
    <w:rsid w:val="00940F46"/>
    <w:rsid w:val="0094154E"/>
    <w:rsid w:val="00942365"/>
    <w:rsid w:val="00942BDC"/>
    <w:rsid w:val="009445B3"/>
    <w:rsid w:val="009446C1"/>
    <w:rsid w:val="00945352"/>
    <w:rsid w:val="00946EF0"/>
    <w:rsid w:val="0095015F"/>
    <w:rsid w:val="009504E5"/>
    <w:rsid w:val="009505EC"/>
    <w:rsid w:val="00950B2D"/>
    <w:rsid w:val="0095263D"/>
    <w:rsid w:val="00954D97"/>
    <w:rsid w:val="00956218"/>
    <w:rsid w:val="00961AF1"/>
    <w:rsid w:val="00961F54"/>
    <w:rsid w:val="00963115"/>
    <w:rsid w:val="00963DFE"/>
    <w:rsid w:val="00964787"/>
    <w:rsid w:val="0096505A"/>
    <w:rsid w:val="00965209"/>
    <w:rsid w:val="00965CA7"/>
    <w:rsid w:val="00965F95"/>
    <w:rsid w:val="00972445"/>
    <w:rsid w:val="009746DE"/>
    <w:rsid w:val="00975D85"/>
    <w:rsid w:val="009775A9"/>
    <w:rsid w:val="00980DFB"/>
    <w:rsid w:val="00982A63"/>
    <w:rsid w:val="009831C4"/>
    <w:rsid w:val="009832DC"/>
    <w:rsid w:val="00983683"/>
    <w:rsid w:val="00983EFF"/>
    <w:rsid w:val="009858E0"/>
    <w:rsid w:val="00985C85"/>
    <w:rsid w:val="00987285"/>
    <w:rsid w:val="00990801"/>
    <w:rsid w:val="00990A96"/>
    <w:rsid w:val="00992B3C"/>
    <w:rsid w:val="00992FF7"/>
    <w:rsid w:val="00994036"/>
    <w:rsid w:val="00994081"/>
    <w:rsid w:val="0099423A"/>
    <w:rsid w:val="009A0A20"/>
    <w:rsid w:val="009A0E26"/>
    <w:rsid w:val="009A2106"/>
    <w:rsid w:val="009A4C8E"/>
    <w:rsid w:val="009A5847"/>
    <w:rsid w:val="009A7EA7"/>
    <w:rsid w:val="009B26A3"/>
    <w:rsid w:val="009B7EB6"/>
    <w:rsid w:val="009C0372"/>
    <w:rsid w:val="009C39A6"/>
    <w:rsid w:val="009C405B"/>
    <w:rsid w:val="009C4CBB"/>
    <w:rsid w:val="009D2D6F"/>
    <w:rsid w:val="009D33E2"/>
    <w:rsid w:val="009D3584"/>
    <w:rsid w:val="009D422D"/>
    <w:rsid w:val="009D58D3"/>
    <w:rsid w:val="009D7AE1"/>
    <w:rsid w:val="009E1F06"/>
    <w:rsid w:val="009E42B6"/>
    <w:rsid w:val="009E4E49"/>
    <w:rsid w:val="009E53F3"/>
    <w:rsid w:val="009E7272"/>
    <w:rsid w:val="009F0F3E"/>
    <w:rsid w:val="009F113B"/>
    <w:rsid w:val="009F222D"/>
    <w:rsid w:val="009F2F41"/>
    <w:rsid w:val="009F33D3"/>
    <w:rsid w:val="009F447E"/>
    <w:rsid w:val="00A000CF"/>
    <w:rsid w:val="00A038DD"/>
    <w:rsid w:val="00A04449"/>
    <w:rsid w:val="00A05447"/>
    <w:rsid w:val="00A07083"/>
    <w:rsid w:val="00A0748E"/>
    <w:rsid w:val="00A11E54"/>
    <w:rsid w:val="00A12510"/>
    <w:rsid w:val="00A15D45"/>
    <w:rsid w:val="00A166B5"/>
    <w:rsid w:val="00A23DCC"/>
    <w:rsid w:val="00A260F1"/>
    <w:rsid w:val="00A266F8"/>
    <w:rsid w:val="00A2717B"/>
    <w:rsid w:val="00A272DE"/>
    <w:rsid w:val="00A274FF"/>
    <w:rsid w:val="00A32187"/>
    <w:rsid w:val="00A32D0D"/>
    <w:rsid w:val="00A32D37"/>
    <w:rsid w:val="00A33D52"/>
    <w:rsid w:val="00A3408E"/>
    <w:rsid w:val="00A35208"/>
    <w:rsid w:val="00A36875"/>
    <w:rsid w:val="00A3799F"/>
    <w:rsid w:val="00A37DA5"/>
    <w:rsid w:val="00A40CDF"/>
    <w:rsid w:val="00A411DA"/>
    <w:rsid w:val="00A41CA3"/>
    <w:rsid w:val="00A42041"/>
    <w:rsid w:val="00A42305"/>
    <w:rsid w:val="00A54379"/>
    <w:rsid w:val="00A55C52"/>
    <w:rsid w:val="00A57695"/>
    <w:rsid w:val="00A61B26"/>
    <w:rsid w:val="00A62970"/>
    <w:rsid w:val="00A63ACC"/>
    <w:rsid w:val="00A64DD9"/>
    <w:rsid w:val="00A65EF2"/>
    <w:rsid w:val="00A67A55"/>
    <w:rsid w:val="00A720F3"/>
    <w:rsid w:val="00A7403C"/>
    <w:rsid w:val="00A76522"/>
    <w:rsid w:val="00A76860"/>
    <w:rsid w:val="00A829A7"/>
    <w:rsid w:val="00A83EAF"/>
    <w:rsid w:val="00A84CE2"/>
    <w:rsid w:val="00A86062"/>
    <w:rsid w:val="00A86160"/>
    <w:rsid w:val="00A87EE2"/>
    <w:rsid w:val="00A912B4"/>
    <w:rsid w:val="00A91BE3"/>
    <w:rsid w:val="00A920FA"/>
    <w:rsid w:val="00A939DA"/>
    <w:rsid w:val="00A94418"/>
    <w:rsid w:val="00A94602"/>
    <w:rsid w:val="00A9514C"/>
    <w:rsid w:val="00A953D2"/>
    <w:rsid w:val="00AA39A5"/>
    <w:rsid w:val="00AA3DCA"/>
    <w:rsid w:val="00AA403C"/>
    <w:rsid w:val="00AA528C"/>
    <w:rsid w:val="00AA625B"/>
    <w:rsid w:val="00AA679E"/>
    <w:rsid w:val="00AB1490"/>
    <w:rsid w:val="00AB3517"/>
    <w:rsid w:val="00AC128C"/>
    <w:rsid w:val="00AC2FAB"/>
    <w:rsid w:val="00AC386F"/>
    <w:rsid w:val="00AC3D2A"/>
    <w:rsid w:val="00AC4DA2"/>
    <w:rsid w:val="00AC57CB"/>
    <w:rsid w:val="00AC686B"/>
    <w:rsid w:val="00AD1B40"/>
    <w:rsid w:val="00AD3891"/>
    <w:rsid w:val="00AD3A58"/>
    <w:rsid w:val="00AD6214"/>
    <w:rsid w:val="00AD675D"/>
    <w:rsid w:val="00AE4D12"/>
    <w:rsid w:val="00AE573E"/>
    <w:rsid w:val="00AF0D14"/>
    <w:rsid w:val="00AF1112"/>
    <w:rsid w:val="00AF2AE8"/>
    <w:rsid w:val="00AF354E"/>
    <w:rsid w:val="00AF35F0"/>
    <w:rsid w:val="00AF3EED"/>
    <w:rsid w:val="00AF4386"/>
    <w:rsid w:val="00AF4874"/>
    <w:rsid w:val="00AF49CC"/>
    <w:rsid w:val="00B00C74"/>
    <w:rsid w:val="00B01035"/>
    <w:rsid w:val="00B01230"/>
    <w:rsid w:val="00B019D4"/>
    <w:rsid w:val="00B021BA"/>
    <w:rsid w:val="00B03F20"/>
    <w:rsid w:val="00B047F7"/>
    <w:rsid w:val="00B076C3"/>
    <w:rsid w:val="00B07DD9"/>
    <w:rsid w:val="00B10FB4"/>
    <w:rsid w:val="00B125F4"/>
    <w:rsid w:val="00B12938"/>
    <w:rsid w:val="00B152F6"/>
    <w:rsid w:val="00B165F4"/>
    <w:rsid w:val="00B17855"/>
    <w:rsid w:val="00B21CF7"/>
    <w:rsid w:val="00B2272C"/>
    <w:rsid w:val="00B2284F"/>
    <w:rsid w:val="00B236B3"/>
    <w:rsid w:val="00B3003B"/>
    <w:rsid w:val="00B30401"/>
    <w:rsid w:val="00B30494"/>
    <w:rsid w:val="00B31E9C"/>
    <w:rsid w:val="00B34051"/>
    <w:rsid w:val="00B34972"/>
    <w:rsid w:val="00B3794A"/>
    <w:rsid w:val="00B5101C"/>
    <w:rsid w:val="00B524DD"/>
    <w:rsid w:val="00B537DB"/>
    <w:rsid w:val="00B54E85"/>
    <w:rsid w:val="00B57761"/>
    <w:rsid w:val="00B60E46"/>
    <w:rsid w:val="00B65CD0"/>
    <w:rsid w:val="00B665A6"/>
    <w:rsid w:val="00B70E13"/>
    <w:rsid w:val="00B713EA"/>
    <w:rsid w:val="00B73569"/>
    <w:rsid w:val="00B74967"/>
    <w:rsid w:val="00B8399E"/>
    <w:rsid w:val="00B84E65"/>
    <w:rsid w:val="00B87E76"/>
    <w:rsid w:val="00B9301E"/>
    <w:rsid w:val="00B93990"/>
    <w:rsid w:val="00B95242"/>
    <w:rsid w:val="00BA418A"/>
    <w:rsid w:val="00BA5E3D"/>
    <w:rsid w:val="00BB2F96"/>
    <w:rsid w:val="00BB4E53"/>
    <w:rsid w:val="00BB5524"/>
    <w:rsid w:val="00BB60A6"/>
    <w:rsid w:val="00BB6833"/>
    <w:rsid w:val="00BB771D"/>
    <w:rsid w:val="00BC0C3C"/>
    <w:rsid w:val="00BC354E"/>
    <w:rsid w:val="00BC5036"/>
    <w:rsid w:val="00BC60B7"/>
    <w:rsid w:val="00BC73E3"/>
    <w:rsid w:val="00BD268E"/>
    <w:rsid w:val="00BD5207"/>
    <w:rsid w:val="00BE0FFD"/>
    <w:rsid w:val="00BE3216"/>
    <w:rsid w:val="00BE5463"/>
    <w:rsid w:val="00BE62D7"/>
    <w:rsid w:val="00BF0B8D"/>
    <w:rsid w:val="00BF21EC"/>
    <w:rsid w:val="00BF2619"/>
    <w:rsid w:val="00BF2D3A"/>
    <w:rsid w:val="00BF437B"/>
    <w:rsid w:val="00BF4750"/>
    <w:rsid w:val="00BF59B5"/>
    <w:rsid w:val="00BF7C70"/>
    <w:rsid w:val="00C04BF6"/>
    <w:rsid w:val="00C100E0"/>
    <w:rsid w:val="00C13572"/>
    <w:rsid w:val="00C137C9"/>
    <w:rsid w:val="00C13B89"/>
    <w:rsid w:val="00C13DD0"/>
    <w:rsid w:val="00C20F85"/>
    <w:rsid w:val="00C214B7"/>
    <w:rsid w:val="00C23C58"/>
    <w:rsid w:val="00C25D81"/>
    <w:rsid w:val="00C30108"/>
    <w:rsid w:val="00C30CE7"/>
    <w:rsid w:val="00C31D7F"/>
    <w:rsid w:val="00C32948"/>
    <w:rsid w:val="00C359EA"/>
    <w:rsid w:val="00C367CE"/>
    <w:rsid w:val="00C42CDC"/>
    <w:rsid w:val="00C4439F"/>
    <w:rsid w:val="00C45CD4"/>
    <w:rsid w:val="00C4645D"/>
    <w:rsid w:val="00C46FD2"/>
    <w:rsid w:val="00C530C1"/>
    <w:rsid w:val="00C557FF"/>
    <w:rsid w:val="00C62449"/>
    <w:rsid w:val="00C649A7"/>
    <w:rsid w:val="00C656D4"/>
    <w:rsid w:val="00C729BD"/>
    <w:rsid w:val="00C73FE0"/>
    <w:rsid w:val="00C77CAA"/>
    <w:rsid w:val="00C82E34"/>
    <w:rsid w:val="00C83352"/>
    <w:rsid w:val="00C83772"/>
    <w:rsid w:val="00C84EA6"/>
    <w:rsid w:val="00C86851"/>
    <w:rsid w:val="00C870F7"/>
    <w:rsid w:val="00C9018D"/>
    <w:rsid w:val="00C918C9"/>
    <w:rsid w:val="00C9280C"/>
    <w:rsid w:val="00C93915"/>
    <w:rsid w:val="00C93CEA"/>
    <w:rsid w:val="00C9792D"/>
    <w:rsid w:val="00CA091F"/>
    <w:rsid w:val="00CA55AC"/>
    <w:rsid w:val="00CB5157"/>
    <w:rsid w:val="00CB6292"/>
    <w:rsid w:val="00CB63DF"/>
    <w:rsid w:val="00CB63EF"/>
    <w:rsid w:val="00CB64E1"/>
    <w:rsid w:val="00CB7558"/>
    <w:rsid w:val="00CB7E37"/>
    <w:rsid w:val="00CB7F78"/>
    <w:rsid w:val="00CC033E"/>
    <w:rsid w:val="00CC1FF3"/>
    <w:rsid w:val="00CC4BFC"/>
    <w:rsid w:val="00CD0A2D"/>
    <w:rsid w:val="00CD0F68"/>
    <w:rsid w:val="00CD5497"/>
    <w:rsid w:val="00CD621E"/>
    <w:rsid w:val="00CD628A"/>
    <w:rsid w:val="00CD70A2"/>
    <w:rsid w:val="00CE34C1"/>
    <w:rsid w:val="00CE6EF4"/>
    <w:rsid w:val="00CF0C8E"/>
    <w:rsid w:val="00CF1557"/>
    <w:rsid w:val="00CF1C50"/>
    <w:rsid w:val="00CF29E8"/>
    <w:rsid w:val="00CF4437"/>
    <w:rsid w:val="00CF63B6"/>
    <w:rsid w:val="00CF73EB"/>
    <w:rsid w:val="00CF77F4"/>
    <w:rsid w:val="00CF7938"/>
    <w:rsid w:val="00D022D4"/>
    <w:rsid w:val="00D0607D"/>
    <w:rsid w:val="00D10CEF"/>
    <w:rsid w:val="00D16030"/>
    <w:rsid w:val="00D170B8"/>
    <w:rsid w:val="00D17481"/>
    <w:rsid w:val="00D2246B"/>
    <w:rsid w:val="00D22EA8"/>
    <w:rsid w:val="00D2345C"/>
    <w:rsid w:val="00D25433"/>
    <w:rsid w:val="00D26393"/>
    <w:rsid w:val="00D33290"/>
    <w:rsid w:val="00D3353D"/>
    <w:rsid w:val="00D335F9"/>
    <w:rsid w:val="00D3407A"/>
    <w:rsid w:val="00D3424F"/>
    <w:rsid w:val="00D35FF5"/>
    <w:rsid w:val="00D36EB1"/>
    <w:rsid w:val="00D41F25"/>
    <w:rsid w:val="00D455E5"/>
    <w:rsid w:val="00D45A25"/>
    <w:rsid w:val="00D46D06"/>
    <w:rsid w:val="00D47D5B"/>
    <w:rsid w:val="00D5009B"/>
    <w:rsid w:val="00D52413"/>
    <w:rsid w:val="00D52CE6"/>
    <w:rsid w:val="00D53AB6"/>
    <w:rsid w:val="00D53EE1"/>
    <w:rsid w:val="00D55736"/>
    <w:rsid w:val="00D563ED"/>
    <w:rsid w:val="00D56A0E"/>
    <w:rsid w:val="00D56D2E"/>
    <w:rsid w:val="00D57C98"/>
    <w:rsid w:val="00D6008D"/>
    <w:rsid w:val="00D6035D"/>
    <w:rsid w:val="00D605E6"/>
    <w:rsid w:val="00D60911"/>
    <w:rsid w:val="00D6216F"/>
    <w:rsid w:val="00D634CD"/>
    <w:rsid w:val="00D64021"/>
    <w:rsid w:val="00D65F39"/>
    <w:rsid w:val="00D72F87"/>
    <w:rsid w:val="00D73A14"/>
    <w:rsid w:val="00D742D1"/>
    <w:rsid w:val="00D76294"/>
    <w:rsid w:val="00D80B00"/>
    <w:rsid w:val="00D83166"/>
    <w:rsid w:val="00D83CD6"/>
    <w:rsid w:val="00D847C9"/>
    <w:rsid w:val="00D85138"/>
    <w:rsid w:val="00D878AD"/>
    <w:rsid w:val="00D90F6F"/>
    <w:rsid w:val="00D9171C"/>
    <w:rsid w:val="00D93627"/>
    <w:rsid w:val="00D93FD9"/>
    <w:rsid w:val="00D94544"/>
    <w:rsid w:val="00D9513A"/>
    <w:rsid w:val="00D95F93"/>
    <w:rsid w:val="00D96A2C"/>
    <w:rsid w:val="00DA28E7"/>
    <w:rsid w:val="00DA42D1"/>
    <w:rsid w:val="00DA4A52"/>
    <w:rsid w:val="00DA64C5"/>
    <w:rsid w:val="00DA78E2"/>
    <w:rsid w:val="00DB054F"/>
    <w:rsid w:val="00DB1BDB"/>
    <w:rsid w:val="00DB2F32"/>
    <w:rsid w:val="00DB429B"/>
    <w:rsid w:val="00DB6A4C"/>
    <w:rsid w:val="00DC0132"/>
    <w:rsid w:val="00DC414E"/>
    <w:rsid w:val="00DC69E2"/>
    <w:rsid w:val="00DD00F0"/>
    <w:rsid w:val="00DD0801"/>
    <w:rsid w:val="00DD26A5"/>
    <w:rsid w:val="00DD739A"/>
    <w:rsid w:val="00DE01C7"/>
    <w:rsid w:val="00DE2820"/>
    <w:rsid w:val="00DE3641"/>
    <w:rsid w:val="00DE3D5C"/>
    <w:rsid w:val="00DE49FD"/>
    <w:rsid w:val="00DE7684"/>
    <w:rsid w:val="00DF296A"/>
    <w:rsid w:val="00DF52E3"/>
    <w:rsid w:val="00DF541E"/>
    <w:rsid w:val="00DF6EB6"/>
    <w:rsid w:val="00DF7B0A"/>
    <w:rsid w:val="00E00C93"/>
    <w:rsid w:val="00E022FF"/>
    <w:rsid w:val="00E02639"/>
    <w:rsid w:val="00E05086"/>
    <w:rsid w:val="00E06DEF"/>
    <w:rsid w:val="00E0731E"/>
    <w:rsid w:val="00E078BC"/>
    <w:rsid w:val="00E10546"/>
    <w:rsid w:val="00E10AB4"/>
    <w:rsid w:val="00E11A81"/>
    <w:rsid w:val="00E126BF"/>
    <w:rsid w:val="00E141DC"/>
    <w:rsid w:val="00E17662"/>
    <w:rsid w:val="00E21F95"/>
    <w:rsid w:val="00E221D5"/>
    <w:rsid w:val="00E2312C"/>
    <w:rsid w:val="00E23CF4"/>
    <w:rsid w:val="00E23F69"/>
    <w:rsid w:val="00E24DF7"/>
    <w:rsid w:val="00E26696"/>
    <w:rsid w:val="00E2766F"/>
    <w:rsid w:val="00E318B2"/>
    <w:rsid w:val="00E31ED7"/>
    <w:rsid w:val="00E33FD3"/>
    <w:rsid w:val="00E373F6"/>
    <w:rsid w:val="00E42990"/>
    <w:rsid w:val="00E43FFB"/>
    <w:rsid w:val="00E459C3"/>
    <w:rsid w:val="00E45CD0"/>
    <w:rsid w:val="00E467A3"/>
    <w:rsid w:val="00E5004E"/>
    <w:rsid w:val="00E5063D"/>
    <w:rsid w:val="00E50A4C"/>
    <w:rsid w:val="00E50C24"/>
    <w:rsid w:val="00E51090"/>
    <w:rsid w:val="00E51F63"/>
    <w:rsid w:val="00E53EB8"/>
    <w:rsid w:val="00E55462"/>
    <w:rsid w:val="00E55854"/>
    <w:rsid w:val="00E55BAB"/>
    <w:rsid w:val="00E568B4"/>
    <w:rsid w:val="00E56D53"/>
    <w:rsid w:val="00E57920"/>
    <w:rsid w:val="00E612FE"/>
    <w:rsid w:val="00E626C4"/>
    <w:rsid w:val="00E63960"/>
    <w:rsid w:val="00E65128"/>
    <w:rsid w:val="00E72DA5"/>
    <w:rsid w:val="00E744E7"/>
    <w:rsid w:val="00E748D0"/>
    <w:rsid w:val="00E74B4A"/>
    <w:rsid w:val="00E75193"/>
    <w:rsid w:val="00E77CE0"/>
    <w:rsid w:val="00E8050A"/>
    <w:rsid w:val="00E8251B"/>
    <w:rsid w:val="00E8338B"/>
    <w:rsid w:val="00E84ED1"/>
    <w:rsid w:val="00E91BC4"/>
    <w:rsid w:val="00E92485"/>
    <w:rsid w:val="00E961C5"/>
    <w:rsid w:val="00EA292D"/>
    <w:rsid w:val="00EA5F98"/>
    <w:rsid w:val="00EA743C"/>
    <w:rsid w:val="00EB01FE"/>
    <w:rsid w:val="00EB0232"/>
    <w:rsid w:val="00EB3A63"/>
    <w:rsid w:val="00EB3EB9"/>
    <w:rsid w:val="00EB596F"/>
    <w:rsid w:val="00EB6DEF"/>
    <w:rsid w:val="00EB7054"/>
    <w:rsid w:val="00EB772D"/>
    <w:rsid w:val="00EC2226"/>
    <w:rsid w:val="00EC28D3"/>
    <w:rsid w:val="00ED0CCC"/>
    <w:rsid w:val="00ED145C"/>
    <w:rsid w:val="00ED18E5"/>
    <w:rsid w:val="00ED190D"/>
    <w:rsid w:val="00ED2D6C"/>
    <w:rsid w:val="00ED4D8D"/>
    <w:rsid w:val="00ED644A"/>
    <w:rsid w:val="00ED66B7"/>
    <w:rsid w:val="00ED67AE"/>
    <w:rsid w:val="00ED6DA7"/>
    <w:rsid w:val="00ED776D"/>
    <w:rsid w:val="00EE01EC"/>
    <w:rsid w:val="00EE0F0A"/>
    <w:rsid w:val="00EE28AC"/>
    <w:rsid w:val="00EE30C3"/>
    <w:rsid w:val="00EE6A25"/>
    <w:rsid w:val="00EE7554"/>
    <w:rsid w:val="00EE75C2"/>
    <w:rsid w:val="00EF027A"/>
    <w:rsid w:val="00EF052E"/>
    <w:rsid w:val="00EF1F61"/>
    <w:rsid w:val="00EF45F1"/>
    <w:rsid w:val="00EF708A"/>
    <w:rsid w:val="00F0024D"/>
    <w:rsid w:val="00F00C8E"/>
    <w:rsid w:val="00F030D4"/>
    <w:rsid w:val="00F03C98"/>
    <w:rsid w:val="00F04932"/>
    <w:rsid w:val="00F06275"/>
    <w:rsid w:val="00F13820"/>
    <w:rsid w:val="00F13F1E"/>
    <w:rsid w:val="00F17D97"/>
    <w:rsid w:val="00F201D8"/>
    <w:rsid w:val="00F215FD"/>
    <w:rsid w:val="00F2397E"/>
    <w:rsid w:val="00F3034F"/>
    <w:rsid w:val="00F307F1"/>
    <w:rsid w:val="00F30D29"/>
    <w:rsid w:val="00F32801"/>
    <w:rsid w:val="00F336D0"/>
    <w:rsid w:val="00F34D1C"/>
    <w:rsid w:val="00F36A7F"/>
    <w:rsid w:val="00F3703A"/>
    <w:rsid w:val="00F416D1"/>
    <w:rsid w:val="00F42189"/>
    <w:rsid w:val="00F444FF"/>
    <w:rsid w:val="00F465EB"/>
    <w:rsid w:val="00F46BA4"/>
    <w:rsid w:val="00F502A2"/>
    <w:rsid w:val="00F50A30"/>
    <w:rsid w:val="00F50FAA"/>
    <w:rsid w:val="00F54B31"/>
    <w:rsid w:val="00F552C8"/>
    <w:rsid w:val="00F56D55"/>
    <w:rsid w:val="00F5764D"/>
    <w:rsid w:val="00F600C0"/>
    <w:rsid w:val="00F6154F"/>
    <w:rsid w:val="00F62257"/>
    <w:rsid w:val="00F62298"/>
    <w:rsid w:val="00F6405F"/>
    <w:rsid w:val="00F65C9F"/>
    <w:rsid w:val="00F66024"/>
    <w:rsid w:val="00F67FB4"/>
    <w:rsid w:val="00F7040C"/>
    <w:rsid w:val="00F70614"/>
    <w:rsid w:val="00F7297B"/>
    <w:rsid w:val="00F72A06"/>
    <w:rsid w:val="00F7692E"/>
    <w:rsid w:val="00F80F07"/>
    <w:rsid w:val="00F82C80"/>
    <w:rsid w:val="00F83D6A"/>
    <w:rsid w:val="00F846D2"/>
    <w:rsid w:val="00F86978"/>
    <w:rsid w:val="00F87626"/>
    <w:rsid w:val="00F901A2"/>
    <w:rsid w:val="00F901A9"/>
    <w:rsid w:val="00F90513"/>
    <w:rsid w:val="00F90D67"/>
    <w:rsid w:val="00F94312"/>
    <w:rsid w:val="00F96791"/>
    <w:rsid w:val="00F977FC"/>
    <w:rsid w:val="00FA1762"/>
    <w:rsid w:val="00FA1A98"/>
    <w:rsid w:val="00FA34CA"/>
    <w:rsid w:val="00FA38D2"/>
    <w:rsid w:val="00FA4257"/>
    <w:rsid w:val="00FA5932"/>
    <w:rsid w:val="00FB359C"/>
    <w:rsid w:val="00FB585D"/>
    <w:rsid w:val="00FC0322"/>
    <w:rsid w:val="00FC0AF4"/>
    <w:rsid w:val="00FC0BA0"/>
    <w:rsid w:val="00FC119F"/>
    <w:rsid w:val="00FC3E52"/>
    <w:rsid w:val="00FC6152"/>
    <w:rsid w:val="00FD1397"/>
    <w:rsid w:val="00FD2047"/>
    <w:rsid w:val="00FD3DBA"/>
    <w:rsid w:val="00FD4296"/>
    <w:rsid w:val="00FD7DAB"/>
    <w:rsid w:val="00FD7ECC"/>
    <w:rsid w:val="00FE6B78"/>
    <w:rsid w:val="00FF1111"/>
    <w:rsid w:val="00FF1595"/>
    <w:rsid w:val="00FF2749"/>
    <w:rsid w:val="00FF2DC8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202F7108"/>
  <w15:docId w15:val="{E6B0EB71-13BB-498B-BDF6-0E21B743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 w:uiPriority="6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E3"/>
  </w:style>
  <w:style w:type="paragraph" w:styleId="Heading1">
    <w:name w:val="heading 1"/>
    <w:basedOn w:val="Normal"/>
    <w:next w:val="Normal"/>
    <w:link w:val="Heading1Char"/>
    <w:qFormat/>
    <w:rsid w:val="00DF5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2 Char, Char2 Char,Char2 Char"/>
    <w:basedOn w:val="Normal"/>
    <w:next w:val="Normal"/>
    <w:link w:val="Heading2Char1"/>
    <w:unhideWhenUsed/>
    <w:qFormat/>
    <w:rsid w:val="00DF52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F52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DF52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DF52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DF52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DF52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DF52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DF52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7F06"/>
    <w:rPr>
      <w:rFonts w:ascii="Tahoma" w:hAnsi="Tahoma" w:cs="ArialMT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817F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17F06"/>
    <w:rPr>
      <w:vertAlign w:val="superscript"/>
    </w:rPr>
  </w:style>
  <w:style w:type="paragraph" w:styleId="BodyTextIndent">
    <w:name w:val="Body Text Indent"/>
    <w:basedOn w:val="Normal"/>
    <w:rsid w:val="00817F06"/>
    <w:pPr>
      <w:ind w:left="360"/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817F06"/>
    <w:rPr>
      <w:color w:val="0000FF"/>
      <w:u w:val="single"/>
    </w:rPr>
  </w:style>
  <w:style w:type="paragraph" w:styleId="BodyText">
    <w:name w:val="Body Text"/>
    <w:basedOn w:val="Normal"/>
    <w:link w:val="BodyTextChar1"/>
    <w:rsid w:val="00817F06"/>
    <w:pPr>
      <w:jc w:val="both"/>
    </w:pPr>
    <w:rPr>
      <w:szCs w:val="20"/>
    </w:rPr>
  </w:style>
  <w:style w:type="paragraph" w:styleId="BodyText2">
    <w:name w:val="Body Text 2"/>
    <w:basedOn w:val="Normal"/>
    <w:rsid w:val="00817F06"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rsid w:val="00817F06"/>
    <w:rPr>
      <w:rFonts w:ascii="Arial" w:hAnsi="Arial"/>
    </w:rPr>
  </w:style>
  <w:style w:type="paragraph" w:styleId="BodyTextIndent2">
    <w:name w:val="Body Text Indent 2"/>
    <w:basedOn w:val="Normal"/>
    <w:rsid w:val="00817F06"/>
    <w:pPr>
      <w:ind w:left="720"/>
      <w:jc w:val="both"/>
    </w:pPr>
    <w:rPr>
      <w:rFonts w:ascii="Arial" w:hAnsi="Arial"/>
    </w:rPr>
  </w:style>
  <w:style w:type="paragraph" w:styleId="Caption">
    <w:name w:val="caption"/>
    <w:basedOn w:val="Normal"/>
    <w:next w:val="Normal"/>
    <w:uiPriority w:val="99"/>
    <w:unhideWhenUsed/>
    <w:qFormat/>
    <w:rsid w:val="00DF52E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817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7F0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17F06"/>
    <w:rPr>
      <w:b/>
      <w:bCs/>
    </w:rPr>
  </w:style>
  <w:style w:type="paragraph" w:customStyle="1" w:styleId="arial">
    <w:name w:val="arial"/>
    <w:basedOn w:val="Normal"/>
    <w:rsid w:val="00817F06"/>
    <w:pPr>
      <w:spacing w:before="60"/>
    </w:pPr>
    <w:rPr>
      <w:b/>
    </w:rPr>
  </w:style>
  <w:style w:type="character" w:customStyle="1" w:styleId="BodyTextChar">
    <w:name w:val="Body Text Char"/>
    <w:basedOn w:val="DefaultParagraphFont"/>
    <w:rsid w:val="00817F06"/>
    <w:rPr>
      <w:noProof w:val="0"/>
      <w:sz w:val="24"/>
      <w:lang w:val="en-GB" w:eastAsia="en-GB" w:bidi="ar-SA"/>
    </w:rPr>
  </w:style>
  <w:style w:type="paragraph" w:styleId="Header">
    <w:name w:val="header"/>
    <w:basedOn w:val="Normal"/>
    <w:rsid w:val="00817F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7F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7F06"/>
  </w:style>
  <w:style w:type="paragraph" w:customStyle="1" w:styleId="NumPara">
    <w:name w:val="Num Para"/>
    <w:basedOn w:val="Heading2"/>
    <w:link w:val="NumParaChar"/>
    <w:uiPriority w:val="99"/>
    <w:rsid w:val="00817F06"/>
    <w:pPr>
      <w:keepNext w:val="0"/>
      <w:widowControl w:val="0"/>
      <w:numPr>
        <w:numId w:val="6"/>
      </w:numPr>
      <w:tabs>
        <w:tab w:val="left" w:pos="567"/>
      </w:tabs>
      <w:spacing w:before="120" w:after="120"/>
      <w:jc w:val="both"/>
    </w:pPr>
    <w:rPr>
      <w:b w:val="0"/>
      <w:i/>
      <w:sz w:val="22"/>
    </w:rPr>
  </w:style>
  <w:style w:type="character" w:customStyle="1" w:styleId="a">
    <w:name w:val="a"/>
    <w:basedOn w:val="DefaultParagraphFont"/>
    <w:rsid w:val="00817F06"/>
  </w:style>
  <w:style w:type="paragraph" w:styleId="BodyTextIndent3">
    <w:name w:val="Body Text Indent 3"/>
    <w:basedOn w:val="Normal"/>
    <w:rsid w:val="00817F06"/>
    <w:pPr>
      <w:spacing w:after="120"/>
      <w:ind w:left="283"/>
    </w:pPr>
    <w:rPr>
      <w:sz w:val="16"/>
      <w:szCs w:val="16"/>
    </w:rPr>
  </w:style>
  <w:style w:type="character" w:customStyle="1" w:styleId="Char1">
    <w:name w:val="Char1"/>
    <w:basedOn w:val="DefaultParagraphFont"/>
    <w:rsid w:val="00817F06"/>
    <w:rPr>
      <w:rFonts w:ascii="Arial" w:hAnsi="Arial" w:cs="Arial"/>
      <w:b/>
      <w:bCs/>
      <w:i/>
      <w:iCs/>
      <w:noProof w:val="0"/>
      <w:sz w:val="28"/>
      <w:szCs w:val="28"/>
      <w:lang w:val="en-US" w:eastAsia="en-US" w:bidi="ar-SA"/>
    </w:rPr>
  </w:style>
  <w:style w:type="paragraph" w:styleId="DocumentMap">
    <w:name w:val="Document Map"/>
    <w:basedOn w:val="Normal"/>
    <w:semiHidden/>
    <w:rsid w:val="00817F06"/>
    <w:pPr>
      <w:shd w:val="clear" w:color="auto" w:fill="000080"/>
    </w:pPr>
    <w:rPr>
      <w:rFonts w:ascii="Helvetica" w:eastAsia="MS Gothic" w:hAnsi="Helvetica"/>
    </w:rPr>
  </w:style>
  <w:style w:type="paragraph" w:customStyle="1" w:styleId="Bullet">
    <w:name w:val="Bullet"/>
    <w:basedOn w:val="Normal"/>
    <w:rsid w:val="00817F06"/>
    <w:pPr>
      <w:tabs>
        <w:tab w:val="left" w:pos="851"/>
      </w:tabs>
      <w:ind w:right="284"/>
      <w:jc w:val="both"/>
    </w:pPr>
  </w:style>
  <w:style w:type="paragraph" w:customStyle="1" w:styleId="NumPara2">
    <w:name w:val="Num Para 2"/>
    <w:basedOn w:val="NumPara"/>
    <w:uiPriority w:val="99"/>
    <w:rsid w:val="00817F06"/>
    <w:pPr>
      <w:numPr>
        <w:numId w:val="7"/>
      </w:numPr>
    </w:pPr>
  </w:style>
  <w:style w:type="paragraph" w:customStyle="1" w:styleId="NumPara3">
    <w:name w:val="Num Para 3"/>
    <w:basedOn w:val="NumPara2"/>
    <w:uiPriority w:val="99"/>
    <w:rsid w:val="00817F06"/>
    <w:pPr>
      <w:numPr>
        <w:numId w:val="9"/>
      </w:numPr>
    </w:pPr>
  </w:style>
  <w:style w:type="paragraph" w:customStyle="1" w:styleId="NumPara4">
    <w:name w:val="Num Para 4"/>
    <w:basedOn w:val="NumPara3"/>
    <w:rsid w:val="00817F06"/>
    <w:pPr>
      <w:numPr>
        <w:numId w:val="2"/>
      </w:numPr>
    </w:pPr>
  </w:style>
  <w:style w:type="paragraph" w:customStyle="1" w:styleId="NumPara5">
    <w:name w:val="Num Para 5"/>
    <w:basedOn w:val="NumPara4"/>
    <w:uiPriority w:val="99"/>
    <w:rsid w:val="00802988"/>
    <w:pPr>
      <w:numPr>
        <w:numId w:val="10"/>
      </w:numPr>
    </w:pPr>
  </w:style>
  <w:style w:type="paragraph" w:customStyle="1" w:styleId="BulletPoints">
    <w:name w:val="BulletPoints"/>
    <w:basedOn w:val="Heading3"/>
    <w:rsid w:val="00817F06"/>
    <w:pPr>
      <w:keepNext w:val="0"/>
      <w:numPr>
        <w:numId w:val="3"/>
      </w:numPr>
      <w:tabs>
        <w:tab w:val="left" w:pos="851"/>
      </w:tabs>
      <w:spacing w:before="60"/>
      <w:ind w:right="561"/>
    </w:pPr>
    <w:rPr>
      <w:rFonts w:ascii="Times New Roman" w:hAnsi="Times New Roman"/>
      <w:b w:val="0"/>
      <w:sz w:val="24"/>
    </w:rPr>
  </w:style>
  <w:style w:type="paragraph" w:customStyle="1" w:styleId="NumPara6">
    <w:name w:val="Num Para 6"/>
    <w:basedOn w:val="NumPara"/>
    <w:uiPriority w:val="99"/>
    <w:rsid w:val="00817F06"/>
    <w:pPr>
      <w:numPr>
        <w:numId w:val="1"/>
      </w:numPr>
    </w:pPr>
  </w:style>
  <w:style w:type="paragraph" w:customStyle="1" w:styleId="NumPara7">
    <w:name w:val="Num Para 7"/>
    <w:basedOn w:val="NumPara"/>
    <w:uiPriority w:val="99"/>
    <w:rsid w:val="00817F06"/>
    <w:pPr>
      <w:numPr>
        <w:numId w:val="4"/>
      </w:numPr>
      <w:tabs>
        <w:tab w:val="clear" w:pos="567"/>
        <w:tab w:val="left" w:pos="399"/>
      </w:tabs>
      <w:ind w:left="0" w:firstLine="0"/>
    </w:pPr>
  </w:style>
  <w:style w:type="paragraph" w:customStyle="1" w:styleId="NumPara8">
    <w:name w:val="Num Para 8"/>
    <w:basedOn w:val="NumPara"/>
    <w:link w:val="NumPara8Char"/>
    <w:rsid w:val="00BA7EE9"/>
    <w:pPr>
      <w:numPr>
        <w:numId w:val="8"/>
      </w:numPr>
    </w:pPr>
  </w:style>
  <w:style w:type="paragraph" w:styleId="TOC1">
    <w:name w:val="toc 1"/>
    <w:basedOn w:val="Normal"/>
    <w:next w:val="Normal"/>
    <w:autoRedefine/>
    <w:semiHidden/>
    <w:rsid w:val="00817F06"/>
    <w:pPr>
      <w:spacing w:before="360"/>
    </w:pPr>
    <w:rPr>
      <w:rFonts w:ascii="Helvetica" w:hAnsi="Helvetica"/>
      <w:b/>
      <w:caps/>
    </w:rPr>
  </w:style>
  <w:style w:type="paragraph" w:styleId="TOC2">
    <w:name w:val="toc 2"/>
    <w:basedOn w:val="Normal"/>
    <w:next w:val="Normal"/>
    <w:autoRedefine/>
    <w:semiHidden/>
    <w:rsid w:val="00817F06"/>
    <w:pPr>
      <w:spacing w:before="240"/>
    </w:pPr>
    <w:rPr>
      <w:rFonts w:ascii="Times" w:hAnsi="Times"/>
      <w:b/>
      <w:sz w:val="20"/>
    </w:rPr>
  </w:style>
  <w:style w:type="paragraph" w:styleId="TOC3">
    <w:name w:val="toc 3"/>
    <w:basedOn w:val="Normal"/>
    <w:next w:val="Normal"/>
    <w:autoRedefine/>
    <w:semiHidden/>
    <w:rsid w:val="00817F06"/>
    <w:pPr>
      <w:ind w:left="240"/>
    </w:pPr>
    <w:rPr>
      <w:rFonts w:ascii="Times" w:hAnsi="Times"/>
      <w:sz w:val="20"/>
    </w:rPr>
  </w:style>
  <w:style w:type="paragraph" w:styleId="TOC4">
    <w:name w:val="toc 4"/>
    <w:basedOn w:val="Normal"/>
    <w:next w:val="Normal"/>
    <w:autoRedefine/>
    <w:semiHidden/>
    <w:rsid w:val="00817F06"/>
    <w:pPr>
      <w:ind w:left="480"/>
    </w:pPr>
    <w:rPr>
      <w:rFonts w:ascii="Times" w:hAnsi="Times"/>
      <w:sz w:val="20"/>
    </w:rPr>
  </w:style>
  <w:style w:type="paragraph" w:styleId="TOC5">
    <w:name w:val="toc 5"/>
    <w:basedOn w:val="Normal"/>
    <w:next w:val="Normal"/>
    <w:autoRedefine/>
    <w:semiHidden/>
    <w:rsid w:val="00817F06"/>
    <w:pPr>
      <w:ind w:left="720"/>
    </w:pPr>
    <w:rPr>
      <w:rFonts w:ascii="Times" w:hAnsi="Times"/>
      <w:sz w:val="20"/>
    </w:rPr>
  </w:style>
  <w:style w:type="paragraph" w:styleId="TOC6">
    <w:name w:val="toc 6"/>
    <w:basedOn w:val="Normal"/>
    <w:next w:val="Normal"/>
    <w:autoRedefine/>
    <w:semiHidden/>
    <w:rsid w:val="00817F06"/>
    <w:pPr>
      <w:ind w:left="960"/>
    </w:pPr>
    <w:rPr>
      <w:rFonts w:ascii="Times" w:hAnsi="Times"/>
      <w:sz w:val="20"/>
    </w:rPr>
  </w:style>
  <w:style w:type="paragraph" w:styleId="TOC7">
    <w:name w:val="toc 7"/>
    <w:basedOn w:val="Normal"/>
    <w:next w:val="Normal"/>
    <w:autoRedefine/>
    <w:semiHidden/>
    <w:rsid w:val="00817F06"/>
    <w:pPr>
      <w:ind w:left="1200"/>
    </w:pPr>
    <w:rPr>
      <w:rFonts w:ascii="Times" w:hAnsi="Times"/>
      <w:sz w:val="20"/>
    </w:rPr>
  </w:style>
  <w:style w:type="paragraph" w:styleId="TOC8">
    <w:name w:val="toc 8"/>
    <w:basedOn w:val="Normal"/>
    <w:next w:val="Normal"/>
    <w:autoRedefine/>
    <w:semiHidden/>
    <w:rsid w:val="00817F06"/>
    <w:pPr>
      <w:ind w:left="1440"/>
    </w:pPr>
    <w:rPr>
      <w:rFonts w:ascii="Times" w:hAnsi="Times"/>
      <w:sz w:val="20"/>
    </w:rPr>
  </w:style>
  <w:style w:type="paragraph" w:styleId="TOC9">
    <w:name w:val="toc 9"/>
    <w:basedOn w:val="Normal"/>
    <w:next w:val="Normal"/>
    <w:autoRedefine/>
    <w:semiHidden/>
    <w:rsid w:val="00817F06"/>
    <w:pPr>
      <w:ind w:left="1680"/>
    </w:pPr>
    <w:rPr>
      <w:rFonts w:ascii="Times" w:hAnsi="Times"/>
      <w:sz w:val="20"/>
    </w:rPr>
  </w:style>
  <w:style w:type="paragraph" w:styleId="NormalWeb">
    <w:name w:val="Normal (Web)"/>
    <w:basedOn w:val="Normal"/>
    <w:uiPriority w:val="99"/>
    <w:rsid w:val="00817F0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F52E3"/>
    <w:rPr>
      <w:b/>
      <w:bCs/>
    </w:rPr>
  </w:style>
  <w:style w:type="character" w:styleId="FollowedHyperlink">
    <w:name w:val="FollowedHyperlink"/>
    <w:basedOn w:val="DefaultParagraphFont"/>
    <w:rsid w:val="00817F06"/>
    <w:rPr>
      <w:color w:val="800080"/>
      <w:u w:val="single"/>
    </w:rPr>
  </w:style>
  <w:style w:type="paragraph" w:customStyle="1" w:styleId="NumPara9">
    <w:name w:val="Num Para 9"/>
    <w:basedOn w:val="NumPara8"/>
    <w:link w:val="NumPara9Char"/>
    <w:rsid w:val="00A155A4"/>
    <w:pPr>
      <w:numPr>
        <w:numId w:val="5"/>
      </w:numPr>
    </w:pPr>
  </w:style>
  <w:style w:type="table" w:styleId="TableGrid">
    <w:name w:val="Table Grid"/>
    <w:basedOn w:val="TableNormal"/>
    <w:uiPriority w:val="59"/>
    <w:rsid w:val="00CE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F52E3"/>
    <w:rPr>
      <w:i/>
      <w:iCs/>
    </w:rPr>
  </w:style>
  <w:style w:type="character" w:customStyle="1" w:styleId="Heading2Char1">
    <w:name w:val="Heading 2 Char1"/>
    <w:aliases w:val="Heading 2 Char Char, Char2 Char Char,Char2 Char Char"/>
    <w:basedOn w:val="DefaultParagraphFont"/>
    <w:link w:val="Heading2"/>
    <w:rsid w:val="00BA7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umParaChar">
    <w:name w:val="Num Para Char"/>
    <w:basedOn w:val="Heading2Char1"/>
    <w:link w:val="NumPara"/>
    <w:uiPriority w:val="99"/>
    <w:rsid w:val="00BA7EE9"/>
    <w:rPr>
      <w:rFonts w:asciiTheme="majorHAnsi" w:eastAsiaTheme="majorEastAsia" w:hAnsiTheme="majorHAnsi" w:cstheme="majorBidi"/>
      <w:b w:val="0"/>
      <w:bCs/>
      <w:i/>
      <w:color w:val="4F81BD" w:themeColor="accent1"/>
      <w:sz w:val="26"/>
      <w:szCs w:val="26"/>
    </w:rPr>
  </w:style>
  <w:style w:type="character" w:customStyle="1" w:styleId="NumPara8Char">
    <w:name w:val="Num Para 8 Char"/>
    <w:basedOn w:val="NumParaChar"/>
    <w:link w:val="NumPara8"/>
    <w:rsid w:val="00BA7EE9"/>
    <w:rPr>
      <w:rFonts w:asciiTheme="majorHAnsi" w:eastAsiaTheme="majorEastAsia" w:hAnsiTheme="majorHAnsi" w:cstheme="majorBidi"/>
      <w:b w:val="0"/>
      <w:bCs/>
      <w:i/>
      <w:color w:val="4F81BD" w:themeColor="accent1"/>
      <w:sz w:val="26"/>
      <w:szCs w:val="26"/>
    </w:rPr>
  </w:style>
  <w:style w:type="character" w:customStyle="1" w:styleId="NumPara9Char">
    <w:name w:val="Num Para 9 Char"/>
    <w:basedOn w:val="NumPara8Char"/>
    <w:link w:val="NumPara9"/>
    <w:rsid w:val="00BA7EE9"/>
    <w:rPr>
      <w:rFonts w:asciiTheme="majorHAnsi" w:eastAsiaTheme="majorEastAsia" w:hAnsiTheme="majorHAnsi" w:cstheme="majorBidi"/>
      <w:b w:val="0"/>
      <w:bCs/>
      <w:i/>
      <w:color w:val="4F81BD" w:themeColor="accent1"/>
      <w:sz w:val="26"/>
      <w:szCs w:val="26"/>
    </w:rPr>
  </w:style>
  <w:style w:type="table" w:styleId="TableSimple1">
    <w:name w:val="Table Simple 1"/>
    <w:basedOn w:val="TableNormal"/>
    <w:rsid w:val="00AA151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F477D0"/>
    <w:pPr>
      <w:ind w:left="480" w:right="453" w:hanging="120"/>
    </w:pPr>
  </w:style>
  <w:style w:type="paragraph" w:styleId="Title">
    <w:name w:val="Title"/>
    <w:basedOn w:val="Normal"/>
    <w:next w:val="Normal"/>
    <w:link w:val="TitleChar"/>
    <w:qFormat/>
    <w:rsid w:val="00DF52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F52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Char1">
    <w:name w:val="Body Text Char1"/>
    <w:basedOn w:val="DefaultParagraphFont"/>
    <w:link w:val="BodyText"/>
    <w:rsid w:val="006D5AFA"/>
    <w:rPr>
      <w:sz w:val="24"/>
      <w:lang w:val="en-GB" w:eastAsia="en-GB" w:bidi="ar-SA"/>
    </w:rPr>
  </w:style>
  <w:style w:type="paragraph" w:customStyle="1" w:styleId="MediumGrid1-Accent21">
    <w:name w:val="Medium Grid 1 - Accent 21"/>
    <w:basedOn w:val="Normal"/>
    <w:uiPriority w:val="34"/>
    <w:qFormat/>
    <w:rsid w:val="001020B8"/>
    <w:pPr>
      <w:ind w:left="720"/>
    </w:pPr>
  </w:style>
  <w:style w:type="paragraph" w:styleId="ListParagraph">
    <w:name w:val="List Paragraph"/>
    <w:basedOn w:val="Normal"/>
    <w:uiPriority w:val="34"/>
    <w:qFormat/>
    <w:rsid w:val="00DF52E3"/>
    <w:pPr>
      <w:ind w:left="720"/>
      <w:contextualSpacing/>
    </w:pPr>
  </w:style>
  <w:style w:type="paragraph" w:styleId="Revision">
    <w:name w:val="Revision"/>
    <w:hidden/>
    <w:uiPriority w:val="99"/>
    <w:semiHidden/>
    <w:rsid w:val="006E22FC"/>
    <w:rPr>
      <w:sz w:val="24"/>
      <w:szCs w:val="24"/>
      <w:lang w:val="en-US" w:eastAsia="en-US"/>
    </w:rPr>
  </w:style>
  <w:style w:type="paragraph" w:customStyle="1" w:styleId="Default">
    <w:name w:val="Default"/>
    <w:rsid w:val="003247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F52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rsid w:val="00DF52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6724F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F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23BE6"/>
    <w:rPr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DF52E3"/>
    <w:rPr>
      <w:i/>
      <w:iCs/>
      <w:color w:val="808080" w:themeColor="text1" w:themeTint="7F"/>
    </w:rPr>
  </w:style>
  <w:style w:type="paragraph" w:styleId="NoSpacing">
    <w:name w:val="No Spacing"/>
    <w:uiPriority w:val="99"/>
    <w:qFormat/>
    <w:rsid w:val="00DF52E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DF52E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LightList-Accent11">
    <w:name w:val="Light List - Accent 11"/>
    <w:basedOn w:val="TableNormal"/>
    <w:uiPriority w:val="61"/>
    <w:rsid w:val="00D5009B"/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dnoteText">
    <w:name w:val="endnote text"/>
    <w:basedOn w:val="Normal"/>
    <w:link w:val="EndnoteTextChar"/>
    <w:rsid w:val="009D33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D33E2"/>
    <w:rPr>
      <w:lang w:val="en-US" w:eastAsia="en-US"/>
    </w:rPr>
  </w:style>
  <w:style w:type="character" w:styleId="EndnoteReference">
    <w:name w:val="endnote reference"/>
    <w:basedOn w:val="DefaultParagraphFont"/>
    <w:rsid w:val="009D33E2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DF52E3"/>
    <w:rPr>
      <w:b/>
      <w:bCs/>
      <w:i/>
      <w:iCs/>
      <w:color w:val="4F81BD" w:themeColor="accent1"/>
    </w:rPr>
  </w:style>
  <w:style w:type="paragraph" w:customStyle="1" w:styleId="Appendix">
    <w:name w:val="Appendix"/>
    <w:basedOn w:val="Heading1"/>
    <w:uiPriority w:val="99"/>
    <w:rsid w:val="00E022FF"/>
    <w:pPr>
      <w:numPr>
        <w:numId w:val="12"/>
      </w:numPr>
      <w:tabs>
        <w:tab w:val="clear" w:pos="0"/>
        <w:tab w:val="num" w:pos="360"/>
      </w:tabs>
      <w:ind w:left="0" w:firstLine="0"/>
    </w:pPr>
  </w:style>
  <w:style w:type="character" w:customStyle="1" w:styleId="Heading5Char">
    <w:name w:val="Heading 5 Char"/>
    <w:basedOn w:val="DefaultParagraphFont"/>
    <w:link w:val="Heading5"/>
    <w:uiPriority w:val="9"/>
    <w:rsid w:val="00DF52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F52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F52E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F5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2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52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F52E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F52E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2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2E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F52E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F52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52E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5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FB489-B205-4673-9CB2-923D12AE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MDIP Phase1 Report – “Defining the UK Framework for Marine Data and Information” or</vt:lpstr>
    </vt:vector>
  </TitlesOfParts>
  <Company>SeaZone Solutions Ltd.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MDIP Phase1 Report – “Defining the UK Framework for Marine Data and Information” or</dc:title>
  <dc:creator>David Cotton</dc:creator>
  <cp:lastModifiedBy>McCandliss, Robin R.</cp:lastModifiedBy>
  <cp:revision>3</cp:revision>
  <cp:lastPrinted>2015-06-17T10:26:00Z</cp:lastPrinted>
  <dcterms:created xsi:type="dcterms:W3CDTF">2018-04-16T14:16:00Z</dcterms:created>
  <dcterms:modified xsi:type="dcterms:W3CDTF">2018-04-16T14:17:00Z</dcterms:modified>
</cp:coreProperties>
</file>