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D2" w:rsidRDefault="00E66221">
      <w:bookmarkStart w:id="0" w:name="_GoBack"/>
      <w:bookmarkEnd w:id="0"/>
    </w:p>
    <w:p w:rsidR="00B920A9" w:rsidRDefault="00B920A9" w:rsidP="00B920A9">
      <w:pPr>
        <w:pStyle w:val="Heading3"/>
        <w:numPr>
          <w:ilvl w:val="0"/>
          <w:numId w:val="0"/>
        </w:numPr>
        <w:tabs>
          <w:tab w:val="left" w:pos="720"/>
        </w:tabs>
        <w:ind w:left="720" w:hanging="720"/>
      </w:pPr>
      <w:r>
        <w:t>Work Programme</w:t>
      </w:r>
    </w:p>
    <w:p w:rsidR="00B920A9" w:rsidRDefault="00B920A9" w:rsidP="00B920A9">
      <w:pPr>
        <w:rPr>
          <w:rFonts w:asciiTheme="minorHAnsi" w:hAnsiTheme="minorHAnsi"/>
          <w:sz w:val="22"/>
          <w:szCs w:val="22"/>
        </w:rPr>
      </w:pPr>
      <w:r>
        <w:rPr>
          <w:rFonts w:asciiTheme="minorHAnsi" w:hAnsiTheme="minorHAnsi"/>
          <w:sz w:val="22"/>
          <w:szCs w:val="22"/>
        </w:rPr>
        <w:t>The following Key Targets have been established for WS1:</w:t>
      </w:r>
    </w:p>
    <w:p w:rsidR="00B920A9" w:rsidRDefault="00B920A9" w:rsidP="00B920A9">
      <w:pPr>
        <w:rPr>
          <w:rFonts w:asciiTheme="minorHAnsi" w:hAnsiTheme="minorHAnsi"/>
          <w:sz w:val="22"/>
          <w:szCs w:val="22"/>
        </w:rPr>
      </w:pPr>
    </w:p>
    <w:p w:rsidR="00B920A9" w:rsidRDefault="00B920A9" w:rsidP="00B920A9">
      <w:pPr>
        <w:ind w:left="992" w:hanging="992"/>
        <w:contextualSpacing/>
        <w:rPr>
          <w:rFonts w:asciiTheme="minorHAnsi" w:hAnsiTheme="minorHAnsi" w:cs="Arial"/>
          <w:sz w:val="22"/>
          <w:szCs w:val="22"/>
        </w:rPr>
      </w:pPr>
      <w:r>
        <w:rPr>
          <w:rFonts w:asciiTheme="minorHAnsi" w:hAnsiTheme="minorHAnsi" w:cs="Arial"/>
          <w:i/>
          <w:sz w:val="22"/>
          <w:szCs w:val="22"/>
        </w:rPr>
        <w:t xml:space="preserve">KT 1.1: </w:t>
      </w:r>
      <w:r>
        <w:rPr>
          <w:rFonts w:asciiTheme="minorHAnsi" w:hAnsiTheme="minorHAnsi" w:cs="Arial"/>
          <w:sz w:val="22"/>
          <w:szCs w:val="22"/>
        </w:rPr>
        <w:t>Archiving - maintain or improve upon 2012 levels of archiving across the DAC network, demonstrate use of centralised archiving guidelines.</w:t>
      </w:r>
      <w:r>
        <w:rPr>
          <w:rFonts w:asciiTheme="minorHAnsi" w:hAnsiTheme="minorHAnsi" w:cs="Arial"/>
          <w:i/>
          <w:sz w:val="22"/>
          <w:szCs w:val="22"/>
        </w:rPr>
        <w:t xml:space="preserve"> (Links to HL01, HLO2)</w:t>
      </w:r>
    </w:p>
    <w:p w:rsidR="00B920A9" w:rsidRDefault="00B920A9" w:rsidP="00B920A9">
      <w:pPr>
        <w:ind w:left="992" w:hanging="992"/>
        <w:contextualSpacing/>
        <w:rPr>
          <w:rFonts w:asciiTheme="minorHAnsi" w:hAnsiTheme="minorHAnsi" w:cs="Arial"/>
          <w:i/>
          <w:sz w:val="22"/>
          <w:szCs w:val="22"/>
        </w:rPr>
      </w:pPr>
      <w:r>
        <w:rPr>
          <w:rFonts w:asciiTheme="minorHAnsi" w:hAnsiTheme="minorHAnsi" w:cs="Arial"/>
          <w:i/>
          <w:sz w:val="22"/>
          <w:szCs w:val="22"/>
        </w:rPr>
        <w:t>KT 1.2:</w:t>
      </w:r>
      <w:r>
        <w:rPr>
          <w:rFonts w:cs="Arial"/>
        </w:rPr>
        <w:t xml:space="preserve"> </w:t>
      </w:r>
      <w:r>
        <w:rPr>
          <w:rFonts w:asciiTheme="minorHAnsi" w:hAnsiTheme="minorHAnsi"/>
          <w:sz w:val="22"/>
          <w:szCs w:val="22"/>
        </w:rPr>
        <w:t>Data Access - DACs demonstrate direct access to data and INSPIRE compliant view and download and agree timetable for further publishing.</w:t>
      </w:r>
      <w:r>
        <w:rPr>
          <w:rFonts w:asciiTheme="minorHAnsi" w:hAnsiTheme="minorHAnsi" w:cs="Arial"/>
          <w:i/>
          <w:sz w:val="22"/>
          <w:szCs w:val="22"/>
        </w:rPr>
        <w:t xml:space="preserve"> (Links to HL03)</w:t>
      </w:r>
      <w:r>
        <w:rPr>
          <w:rFonts w:asciiTheme="minorHAnsi" w:hAnsiTheme="minorHAnsi" w:cs="Arial"/>
          <w:i/>
          <w:sz w:val="22"/>
          <w:szCs w:val="22"/>
        </w:rPr>
        <w:tab/>
      </w:r>
    </w:p>
    <w:p w:rsidR="00B920A9" w:rsidRDefault="00B920A9" w:rsidP="00B920A9">
      <w:pPr>
        <w:ind w:left="992" w:hanging="992"/>
        <w:contextualSpacing/>
        <w:rPr>
          <w:rFonts w:asciiTheme="minorHAnsi" w:hAnsiTheme="minorHAnsi"/>
          <w:sz w:val="22"/>
          <w:szCs w:val="22"/>
        </w:rPr>
      </w:pPr>
      <w:r>
        <w:rPr>
          <w:rFonts w:asciiTheme="minorHAnsi" w:hAnsiTheme="minorHAnsi" w:cs="Arial"/>
          <w:i/>
          <w:sz w:val="22"/>
          <w:szCs w:val="22"/>
        </w:rPr>
        <w:t>KT 1.3:</w:t>
      </w:r>
      <w:r>
        <w:rPr>
          <w:rFonts w:cs="Arial"/>
        </w:rPr>
        <w:t xml:space="preserve"> </w:t>
      </w:r>
      <w:r>
        <w:rPr>
          <w:rFonts w:asciiTheme="minorHAnsi" w:hAnsiTheme="minorHAnsi"/>
          <w:sz w:val="22"/>
          <w:szCs w:val="22"/>
        </w:rPr>
        <w:t>Accreditation - Provide support to at least one further DAC to join the network (e.g.  Northern Irish component of Heritage DAC, JNCC as a Bird DAC).</w:t>
      </w:r>
      <w:r>
        <w:rPr>
          <w:rFonts w:asciiTheme="minorHAnsi" w:hAnsiTheme="minorHAnsi" w:cs="Arial"/>
          <w:i/>
          <w:sz w:val="22"/>
          <w:szCs w:val="22"/>
        </w:rPr>
        <w:t xml:space="preserve"> (Links to HL04)</w:t>
      </w:r>
    </w:p>
    <w:p w:rsidR="00B920A9" w:rsidRPr="009E4AD1" w:rsidRDefault="00B920A9" w:rsidP="00B920A9">
      <w:pPr>
        <w:ind w:left="992" w:hanging="992"/>
        <w:contextualSpacing/>
        <w:rPr>
          <w:rFonts w:asciiTheme="minorHAnsi" w:hAnsiTheme="minorHAnsi" w:cs="Arial"/>
          <w:i/>
          <w:sz w:val="22"/>
          <w:szCs w:val="22"/>
        </w:rPr>
      </w:pPr>
      <w:r w:rsidRPr="009E4AD1">
        <w:rPr>
          <w:rFonts w:asciiTheme="minorHAnsi" w:hAnsiTheme="minorHAnsi" w:cs="Arial"/>
          <w:i/>
          <w:sz w:val="22"/>
          <w:szCs w:val="22"/>
        </w:rPr>
        <w:t xml:space="preserve">KT 1.4: </w:t>
      </w:r>
      <w:r w:rsidRPr="009E4AD1">
        <w:rPr>
          <w:rFonts w:asciiTheme="minorHAnsi" w:hAnsiTheme="minorHAnsi"/>
          <w:i/>
          <w:sz w:val="22"/>
          <w:szCs w:val="22"/>
        </w:rPr>
        <w:t>Metadata quality – Update metadata records created by DACs to latest version of MEDIN Discovery Metadata Standard - achieve validation of metadata records in the new MEDIN portal. (Links to HL04 and HL07)</w:t>
      </w:r>
      <w:r w:rsidRPr="009E4AD1">
        <w:rPr>
          <w:rFonts w:asciiTheme="minorHAnsi" w:hAnsiTheme="minorHAnsi" w:cs="Arial"/>
          <w:i/>
          <w:sz w:val="22"/>
          <w:szCs w:val="22"/>
        </w:rPr>
        <w:tab/>
      </w:r>
    </w:p>
    <w:p w:rsidR="00B920A9" w:rsidRDefault="00B920A9" w:rsidP="00B920A9">
      <w:pPr>
        <w:ind w:left="1134" w:hanging="992"/>
        <w:contextualSpacing/>
        <w:rPr>
          <w:rFonts w:asciiTheme="minorHAnsi" w:hAnsiTheme="minorHAnsi" w:cs="Arial"/>
          <w:i/>
          <w:sz w:val="22"/>
          <w:szCs w:val="22"/>
        </w:rPr>
      </w:pPr>
    </w:p>
    <w:p w:rsidR="00B920A9" w:rsidRDefault="00B920A9" w:rsidP="00B920A9">
      <w:pPr>
        <w:jc w:val="both"/>
        <w:rPr>
          <w:rFonts w:ascii="Calibri" w:hAnsi="Calibri" w:cs="Calibri"/>
          <w:b/>
          <w:bCs/>
        </w:rPr>
      </w:pPr>
      <w:r>
        <w:rPr>
          <w:rFonts w:ascii="Calibri" w:hAnsi="Calibri" w:cs="Calibri"/>
          <w:b/>
          <w:bCs/>
        </w:rPr>
        <w:t>A)</w:t>
      </w:r>
      <w:r>
        <w:rPr>
          <w:rFonts w:ascii="Calibri" w:hAnsi="Calibri" w:cs="Calibri"/>
          <w:b/>
          <w:bCs/>
        </w:rPr>
        <w:tab/>
        <w:t xml:space="preserve">Operational DAC networks </w:t>
      </w:r>
    </w:p>
    <w:p w:rsidR="00B920A9" w:rsidRDefault="00B920A9" w:rsidP="00B920A9">
      <w:pPr>
        <w:spacing w:after="240"/>
        <w:ind w:right="454"/>
        <w:jc w:val="both"/>
        <w:rPr>
          <w:rFonts w:asciiTheme="minorHAnsi" w:hAnsiTheme="minorHAnsi" w:cs="Arial"/>
          <w:sz w:val="22"/>
          <w:szCs w:val="22"/>
        </w:rPr>
      </w:pPr>
      <w:r>
        <w:rPr>
          <w:rFonts w:asciiTheme="minorHAnsi" w:hAnsiTheme="minorHAnsi" w:cs="Arial"/>
          <w:sz w:val="22"/>
          <w:szCs w:val="22"/>
        </w:rPr>
        <w:t>The DAC Network is operational.  The Work Programme covers support of the DAC network through reporting and central services.</w:t>
      </w:r>
    </w:p>
    <w:p w:rsidR="00B920A9" w:rsidRDefault="00B920A9" w:rsidP="00B920A9">
      <w:pPr>
        <w:pStyle w:val="ListParagraph"/>
        <w:spacing w:after="120"/>
        <w:ind w:left="0" w:right="454"/>
        <w:rPr>
          <w:rFonts w:asciiTheme="minorHAnsi" w:hAnsiTheme="minorHAnsi" w:cs="Arial"/>
          <w:b/>
          <w:sz w:val="22"/>
          <w:szCs w:val="22"/>
          <w:u w:val="single"/>
        </w:rPr>
      </w:pPr>
      <w:r>
        <w:rPr>
          <w:rFonts w:asciiTheme="minorHAnsi" w:hAnsiTheme="minorHAnsi" w:cs="Arial"/>
          <w:b/>
          <w:sz w:val="22"/>
          <w:szCs w:val="22"/>
          <w:u w:val="single"/>
        </w:rPr>
        <w:t>OPERATIONAL TASKS</w:t>
      </w:r>
    </w:p>
    <w:p w:rsidR="00B920A9" w:rsidRDefault="00B920A9" w:rsidP="00B920A9">
      <w:pPr>
        <w:ind w:firstLine="284"/>
        <w:jc w:val="both"/>
        <w:rPr>
          <w:rFonts w:ascii="Calibri" w:hAnsi="Calibri" w:cs="Calibri"/>
          <w:b/>
          <w:bCs/>
          <w:sz w:val="22"/>
          <w:szCs w:val="22"/>
        </w:rPr>
      </w:pPr>
      <w:r>
        <w:rPr>
          <w:rFonts w:ascii="Calibri" w:hAnsi="Calibri" w:cs="Calibri"/>
          <w:b/>
          <w:bCs/>
          <w:sz w:val="22"/>
          <w:szCs w:val="22"/>
        </w:rPr>
        <w:t xml:space="preserve">Archiving </w:t>
      </w:r>
    </w:p>
    <w:p w:rsidR="00B920A9" w:rsidRDefault="00B920A9" w:rsidP="00B920A9">
      <w:pPr>
        <w:pStyle w:val="ListParagraph"/>
        <w:numPr>
          <w:ilvl w:val="0"/>
          <w:numId w:val="4"/>
        </w:numPr>
        <w:spacing w:after="60"/>
        <w:ind w:left="360" w:right="454"/>
        <w:rPr>
          <w:rFonts w:asciiTheme="minorHAnsi" w:hAnsiTheme="minorHAnsi" w:cs="Arial"/>
          <w:sz w:val="22"/>
          <w:szCs w:val="22"/>
        </w:rPr>
      </w:pPr>
      <w:r>
        <w:rPr>
          <w:rFonts w:ascii="Calibri" w:hAnsi="Calibri" w:cs="Calibri"/>
          <w:sz w:val="22"/>
          <w:szCs w:val="22"/>
        </w:rPr>
        <w:t xml:space="preserve"> </w:t>
      </w:r>
      <w:r>
        <w:rPr>
          <w:rFonts w:asciiTheme="minorHAnsi" w:hAnsiTheme="minorHAnsi" w:cs="Arial"/>
          <w:sz w:val="22"/>
          <w:szCs w:val="22"/>
        </w:rPr>
        <w:t>DAC archiving of MEDIN partner and third party data.  DACs continue to archive data to agreed individual programmes.  DACs are asked to detail archiving through the annual reports and engagement with MEDIN partners.  Archiving to be at or greater than the baseline 2012 archiving level.</w:t>
      </w:r>
    </w:p>
    <w:p w:rsidR="00B920A9" w:rsidRDefault="00B920A9" w:rsidP="00B920A9">
      <w:pPr>
        <w:pStyle w:val="ListParagraph"/>
        <w:numPr>
          <w:ilvl w:val="0"/>
          <w:numId w:val="4"/>
        </w:numPr>
        <w:spacing w:after="240"/>
        <w:ind w:left="357" w:right="454" w:hanging="357"/>
        <w:rPr>
          <w:rFonts w:asciiTheme="minorHAnsi" w:hAnsiTheme="minorHAnsi" w:cs="Arial"/>
          <w:sz w:val="22"/>
          <w:szCs w:val="22"/>
        </w:rPr>
      </w:pPr>
      <w:r>
        <w:rPr>
          <w:rFonts w:asciiTheme="minorHAnsi" w:hAnsiTheme="minorHAnsi" w:cs="Arial"/>
          <w:sz w:val="22"/>
          <w:szCs w:val="22"/>
        </w:rPr>
        <w:t xml:space="preserve">Provide central enquiry point, and generic online and downloadable guidance for DAC network and data submission </w:t>
      </w:r>
      <w:r>
        <w:rPr>
          <w:rFonts w:ascii="Calibri" w:hAnsi="Calibri" w:cs="Calibri"/>
          <w:sz w:val="22"/>
          <w:szCs w:val="22"/>
        </w:rPr>
        <w:t>(</w:t>
      </w:r>
      <w:r>
        <w:rPr>
          <w:rFonts w:ascii="Calibri" w:hAnsi="Calibri" w:cs="Calibri"/>
          <w:b/>
          <w:sz w:val="22"/>
          <w:szCs w:val="22"/>
        </w:rPr>
        <w:t>DR 17</w:t>
      </w:r>
      <w:r>
        <w:rPr>
          <w:rFonts w:ascii="Calibri" w:hAnsi="Calibri" w:cs="Calibri"/>
          <w:sz w:val="22"/>
          <w:szCs w:val="22"/>
        </w:rPr>
        <w:t>)</w:t>
      </w:r>
      <w:r>
        <w:rPr>
          <w:rFonts w:asciiTheme="minorHAnsi" w:hAnsiTheme="minorHAnsi" w:cs="Arial"/>
          <w:sz w:val="22"/>
          <w:szCs w:val="22"/>
        </w:rPr>
        <w:t>.</w:t>
      </w:r>
    </w:p>
    <w:p w:rsidR="00B920A9" w:rsidRDefault="00B920A9" w:rsidP="00B920A9">
      <w:pPr>
        <w:pStyle w:val="ListParagraph"/>
        <w:numPr>
          <w:ilvl w:val="0"/>
          <w:numId w:val="4"/>
        </w:numPr>
        <w:spacing w:after="240"/>
        <w:ind w:left="357" w:right="454" w:hanging="357"/>
        <w:rPr>
          <w:rFonts w:asciiTheme="minorHAnsi" w:hAnsiTheme="minorHAnsi" w:cs="Arial"/>
          <w:sz w:val="22"/>
          <w:szCs w:val="22"/>
        </w:rPr>
      </w:pPr>
      <w:r>
        <w:rPr>
          <w:rFonts w:ascii="Calibri" w:hAnsi="Calibri" w:cs="Calibri"/>
          <w:sz w:val="22"/>
          <w:szCs w:val="22"/>
        </w:rPr>
        <w:t>Share best practice through the DAC network via DAC Working Group meetings.</w:t>
      </w:r>
    </w:p>
    <w:p w:rsidR="00B920A9" w:rsidRDefault="00B920A9" w:rsidP="00B920A9">
      <w:pPr>
        <w:ind w:firstLine="357"/>
        <w:jc w:val="both"/>
        <w:rPr>
          <w:rFonts w:ascii="Calibri" w:hAnsi="Calibri" w:cs="Calibri"/>
          <w:b/>
          <w:bCs/>
          <w:sz w:val="22"/>
          <w:szCs w:val="22"/>
        </w:rPr>
      </w:pPr>
      <w:r>
        <w:rPr>
          <w:rFonts w:ascii="Calibri" w:hAnsi="Calibri" w:cs="Calibri"/>
          <w:b/>
          <w:bCs/>
          <w:sz w:val="22"/>
          <w:szCs w:val="22"/>
        </w:rPr>
        <w:t xml:space="preserve">Data Dissemination </w:t>
      </w:r>
    </w:p>
    <w:p w:rsidR="00B920A9" w:rsidRDefault="00B920A9" w:rsidP="00B920A9">
      <w:pPr>
        <w:pStyle w:val="ListParagraph"/>
        <w:numPr>
          <w:ilvl w:val="0"/>
          <w:numId w:val="5"/>
        </w:numPr>
        <w:spacing w:after="120"/>
        <w:ind w:left="360" w:right="454"/>
        <w:rPr>
          <w:rFonts w:asciiTheme="minorHAnsi" w:hAnsiTheme="minorHAnsi" w:cs="Arial"/>
          <w:b/>
          <w:sz w:val="22"/>
          <w:szCs w:val="22"/>
        </w:rPr>
      </w:pPr>
      <w:r>
        <w:rPr>
          <w:rFonts w:asciiTheme="minorHAnsi" w:hAnsiTheme="minorHAnsi" w:cs="Arial"/>
          <w:sz w:val="22"/>
          <w:szCs w:val="22"/>
        </w:rPr>
        <w:t>Disseminate data through MEDIN portal (working with Portal work stream) and DAC local portals, facilitating direct access to data from MEDIN portal.</w:t>
      </w:r>
    </w:p>
    <w:p w:rsidR="00B920A9" w:rsidRDefault="00B920A9" w:rsidP="00B920A9">
      <w:pPr>
        <w:pStyle w:val="ListParagraph"/>
        <w:numPr>
          <w:ilvl w:val="0"/>
          <w:numId w:val="5"/>
        </w:numPr>
        <w:spacing w:after="240"/>
        <w:ind w:left="357" w:right="454" w:hanging="357"/>
        <w:rPr>
          <w:rFonts w:asciiTheme="minorHAnsi" w:hAnsiTheme="minorHAnsi" w:cs="Arial"/>
          <w:b/>
          <w:sz w:val="22"/>
          <w:szCs w:val="22"/>
        </w:rPr>
      </w:pPr>
      <w:r>
        <w:rPr>
          <w:rFonts w:asciiTheme="minorHAnsi" w:hAnsiTheme="minorHAnsi" w:cs="Arial"/>
          <w:sz w:val="22"/>
          <w:szCs w:val="22"/>
        </w:rPr>
        <w:t xml:space="preserve">MEDIN helpdesk for data access enquiries (same as above, </w:t>
      </w:r>
      <w:r>
        <w:rPr>
          <w:rFonts w:asciiTheme="minorHAnsi" w:hAnsiTheme="minorHAnsi" w:cs="Arial"/>
          <w:b/>
          <w:sz w:val="22"/>
          <w:szCs w:val="22"/>
        </w:rPr>
        <w:t>DR17</w:t>
      </w:r>
      <w:r>
        <w:rPr>
          <w:rFonts w:asciiTheme="minorHAnsi" w:hAnsiTheme="minorHAnsi" w:cs="Arial"/>
          <w:sz w:val="22"/>
          <w:szCs w:val="22"/>
        </w:rPr>
        <w:t>)</w:t>
      </w:r>
    </w:p>
    <w:p w:rsidR="00B920A9" w:rsidRDefault="00B920A9" w:rsidP="00B920A9">
      <w:pPr>
        <w:ind w:firstLine="284"/>
        <w:jc w:val="both"/>
        <w:rPr>
          <w:rFonts w:ascii="Calibri" w:hAnsi="Calibri" w:cs="Calibri"/>
          <w:b/>
          <w:bCs/>
          <w:sz w:val="22"/>
          <w:szCs w:val="22"/>
        </w:rPr>
      </w:pPr>
      <w:r>
        <w:rPr>
          <w:rFonts w:ascii="Calibri" w:hAnsi="Calibri" w:cs="Calibri"/>
          <w:b/>
          <w:bCs/>
          <w:sz w:val="22"/>
          <w:szCs w:val="22"/>
        </w:rPr>
        <w:t>Reporting and DAC Network Management</w:t>
      </w:r>
    </w:p>
    <w:p w:rsidR="00B920A9" w:rsidRDefault="00B920A9" w:rsidP="00B920A9">
      <w:pPr>
        <w:pStyle w:val="ListParagraph"/>
        <w:numPr>
          <w:ilvl w:val="0"/>
          <w:numId w:val="6"/>
        </w:numPr>
        <w:spacing w:after="60"/>
        <w:ind w:left="360" w:right="454"/>
        <w:rPr>
          <w:rFonts w:asciiTheme="minorHAnsi" w:hAnsiTheme="minorHAnsi" w:cs="Arial"/>
          <w:sz w:val="22"/>
          <w:szCs w:val="22"/>
        </w:rPr>
      </w:pPr>
      <w:r>
        <w:rPr>
          <w:rFonts w:asciiTheme="minorHAnsi" w:hAnsiTheme="minorHAnsi" w:cs="Arial"/>
          <w:sz w:val="22"/>
          <w:szCs w:val="22"/>
        </w:rPr>
        <w:t>Provide DAC Annual reports by May 2018</w:t>
      </w:r>
    </w:p>
    <w:p w:rsidR="00B920A9" w:rsidRDefault="00B920A9" w:rsidP="00B920A9">
      <w:pPr>
        <w:pStyle w:val="ListParagraph"/>
        <w:numPr>
          <w:ilvl w:val="0"/>
          <w:numId w:val="6"/>
        </w:numPr>
        <w:spacing w:after="60"/>
        <w:ind w:left="360" w:right="454"/>
        <w:rPr>
          <w:rFonts w:asciiTheme="minorHAnsi" w:hAnsiTheme="minorHAnsi" w:cs="Arial"/>
          <w:sz w:val="22"/>
          <w:szCs w:val="22"/>
        </w:rPr>
      </w:pPr>
      <w:r>
        <w:rPr>
          <w:rFonts w:asciiTheme="minorHAnsi" w:hAnsiTheme="minorHAnsi" w:cs="Arial"/>
          <w:sz w:val="22"/>
          <w:szCs w:val="22"/>
        </w:rPr>
        <w:t xml:space="preserve">Plan of (re)accreditation of existing and new DACs for 2018 </w:t>
      </w:r>
      <w:r>
        <w:rPr>
          <w:rFonts w:ascii="Calibri" w:hAnsi="Calibri" w:cs="Calibri"/>
          <w:sz w:val="22"/>
          <w:szCs w:val="22"/>
        </w:rPr>
        <w:t>(</w:t>
      </w:r>
      <w:r>
        <w:rPr>
          <w:rFonts w:ascii="Calibri" w:hAnsi="Calibri" w:cs="Calibri"/>
          <w:b/>
          <w:sz w:val="22"/>
          <w:szCs w:val="22"/>
        </w:rPr>
        <w:t>DR 18.</w:t>
      </w:r>
      <w:r>
        <w:rPr>
          <w:rFonts w:ascii="Calibri" w:hAnsi="Calibri" w:cs="Calibri"/>
          <w:sz w:val="22"/>
          <w:szCs w:val="22"/>
        </w:rPr>
        <w:t>)</w:t>
      </w:r>
    </w:p>
    <w:p w:rsidR="00B920A9" w:rsidRDefault="00B920A9" w:rsidP="00B920A9">
      <w:pPr>
        <w:pStyle w:val="ListParagraph"/>
        <w:numPr>
          <w:ilvl w:val="0"/>
          <w:numId w:val="6"/>
        </w:numPr>
        <w:spacing w:after="60"/>
        <w:ind w:left="360" w:right="454"/>
        <w:rPr>
          <w:rFonts w:asciiTheme="minorHAnsi" w:hAnsiTheme="minorHAnsi" w:cs="Arial"/>
          <w:sz w:val="22"/>
          <w:szCs w:val="22"/>
        </w:rPr>
      </w:pPr>
      <w:r>
        <w:rPr>
          <w:rFonts w:asciiTheme="minorHAnsi" w:hAnsiTheme="minorHAnsi" w:cs="Arial"/>
          <w:sz w:val="22"/>
          <w:szCs w:val="22"/>
        </w:rPr>
        <w:t>At least two DAC working group meetings.</w:t>
      </w:r>
    </w:p>
    <w:p w:rsidR="00B920A9" w:rsidRDefault="00B920A9" w:rsidP="00B920A9">
      <w:pPr>
        <w:pStyle w:val="ListParagraph"/>
        <w:numPr>
          <w:ilvl w:val="0"/>
          <w:numId w:val="6"/>
        </w:numPr>
        <w:spacing w:after="60"/>
        <w:ind w:left="360" w:right="454"/>
        <w:rPr>
          <w:rFonts w:asciiTheme="minorHAnsi" w:hAnsiTheme="minorHAnsi" w:cs="Arial"/>
          <w:sz w:val="22"/>
          <w:szCs w:val="22"/>
        </w:rPr>
      </w:pPr>
      <w:r>
        <w:rPr>
          <w:rFonts w:ascii="Calibri" w:hAnsi="Calibri" w:cs="Calibri"/>
          <w:sz w:val="22"/>
          <w:szCs w:val="22"/>
        </w:rPr>
        <w:t>Continue to promote data archive funding model at MSCC level, including the need to allocate costs of archiving before data collection is initiated.</w:t>
      </w:r>
    </w:p>
    <w:p w:rsidR="00B920A9" w:rsidRDefault="00B920A9" w:rsidP="00B920A9">
      <w:pPr>
        <w:pStyle w:val="ListParagraph"/>
        <w:spacing w:after="120"/>
        <w:ind w:left="360" w:right="454"/>
        <w:rPr>
          <w:rFonts w:asciiTheme="minorHAnsi" w:hAnsiTheme="minorHAnsi" w:cs="Arial"/>
          <w:b/>
          <w:sz w:val="22"/>
          <w:szCs w:val="22"/>
          <w:u w:val="single"/>
        </w:rPr>
      </w:pPr>
    </w:p>
    <w:p w:rsidR="00B920A9" w:rsidRDefault="00B920A9" w:rsidP="00B920A9">
      <w:pPr>
        <w:pStyle w:val="ListParagraph"/>
        <w:spacing w:after="120"/>
        <w:ind w:left="360" w:right="454"/>
        <w:rPr>
          <w:rFonts w:asciiTheme="minorHAnsi" w:hAnsiTheme="minorHAnsi" w:cs="Arial"/>
          <w:b/>
          <w:sz w:val="22"/>
          <w:szCs w:val="22"/>
          <w:u w:val="single"/>
        </w:rPr>
      </w:pPr>
    </w:p>
    <w:p w:rsidR="00B920A9" w:rsidRDefault="00B920A9" w:rsidP="00B920A9">
      <w:pPr>
        <w:pStyle w:val="ListParagraph"/>
        <w:spacing w:after="120"/>
        <w:ind w:left="0" w:right="454"/>
        <w:rPr>
          <w:rFonts w:ascii="Arial" w:hAnsi="Arial" w:cs="Arial"/>
          <w:b/>
          <w:sz w:val="22"/>
          <w:szCs w:val="22"/>
          <w:u w:val="single"/>
        </w:rPr>
      </w:pPr>
      <w:r>
        <w:rPr>
          <w:rFonts w:asciiTheme="minorHAnsi" w:hAnsiTheme="minorHAnsi" w:cs="Arial"/>
          <w:b/>
          <w:sz w:val="22"/>
          <w:szCs w:val="22"/>
          <w:u w:val="single"/>
        </w:rPr>
        <w:t>DEVELOPMENT TASKS</w:t>
      </w:r>
      <w:r>
        <w:rPr>
          <w:rFonts w:ascii="Arial" w:hAnsi="Arial" w:cs="Arial"/>
          <w:b/>
          <w:sz w:val="22"/>
          <w:szCs w:val="22"/>
          <w:u w:val="single"/>
        </w:rPr>
        <w:t xml:space="preserve"> </w:t>
      </w:r>
    </w:p>
    <w:p w:rsidR="00B920A9" w:rsidRDefault="00B920A9" w:rsidP="00B920A9">
      <w:pPr>
        <w:ind w:firstLine="284"/>
        <w:jc w:val="both"/>
        <w:rPr>
          <w:rFonts w:ascii="Calibri" w:hAnsi="Calibri" w:cs="Calibri"/>
          <w:b/>
          <w:bCs/>
          <w:sz w:val="22"/>
          <w:szCs w:val="22"/>
        </w:rPr>
      </w:pPr>
      <w:r>
        <w:rPr>
          <w:rFonts w:ascii="Calibri" w:hAnsi="Calibri" w:cs="Calibri"/>
          <w:b/>
          <w:bCs/>
          <w:sz w:val="22"/>
          <w:szCs w:val="22"/>
        </w:rPr>
        <w:t xml:space="preserve">Archiving </w:t>
      </w:r>
    </w:p>
    <w:p w:rsidR="00B920A9" w:rsidRDefault="00B920A9" w:rsidP="00B920A9">
      <w:pPr>
        <w:pStyle w:val="ListParagraph"/>
        <w:numPr>
          <w:ilvl w:val="0"/>
          <w:numId w:val="7"/>
        </w:numPr>
        <w:spacing w:after="240"/>
        <w:ind w:right="454"/>
        <w:rPr>
          <w:rFonts w:ascii="Calibri" w:hAnsi="Calibri" w:cs="Calibri"/>
          <w:sz w:val="22"/>
          <w:szCs w:val="22"/>
        </w:rPr>
      </w:pPr>
      <w:r>
        <w:rPr>
          <w:rFonts w:ascii="Calibri" w:hAnsi="Calibri" w:cs="Calibri"/>
          <w:sz w:val="22"/>
          <w:szCs w:val="22"/>
        </w:rPr>
        <w:t>Increase submission of data and archiving from new suppliers/third parties, with a continuing focus on data collected by marine industries (Expanding MEDIN Coverage).</w:t>
      </w:r>
    </w:p>
    <w:p w:rsidR="00B920A9" w:rsidRDefault="00B920A9" w:rsidP="00B920A9">
      <w:pPr>
        <w:pStyle w:val="ListParagraph"/>
        <w:ind w:left="644"/>
        <w:jc w:val="both"/>
        <w:rPr>
          <w:rFonts w:ascii="Calibri" w:hAnsi="Calibri" w:cs="Calibri"/>
          <w:sz w:val="22"/>
          <w:szCs w:val="22"/>
        </w:rPr>
      </w:pPr>
    </w:p>
    <w:p w:rsidR="00B920A9" w:rsidRDefault="00B920A9" w:rsidP="00B920A9">
      <w:pPr>
        <w:ind w:firstLine="284"/>
        <w:jc w:val="both"/>
        <w:rPr>
          <w:rFonts w:ascii="Calibri" w:hAnsi="Calibri" w:cs="Calibri"/>
          <w:b/>
          <w:bCs/>
          <w:sz w:val="22"/>
          <w:szCs w:val="22"/>
        </w:rPr>
      </w:pPr>
      <w:r>
        <w:rPr>
          <w:rFonts w:ascii="Calibri" w:hAnsi="Calibri" w:cs="Calibri"/>
          <w:b/>
          <w:bCs/>
          <w:sz w:val="22"/>
          <w:szCs w:val="22"/>
        </w:rPr>
        <w:t xml:space="preserve">Data Dissemination </w:t>
      </w:r>
    </w:p>
    <w:p w:rsidR="00B920A9" w:rsidRDefault="00B920A9" w:rsidP="00B920A9">
      <w:pPr>
        <w:pStyle w:val="ListParagraph"/>
        <w:numPr>
          <w:ilvl w:val="0"/>
          <w:numId w:val="8"/>
        </w:numPr>
        <w:jc w:val="both"/>
        <w:rPr>
          <w:rFonts w:ascii="Calibri" w:hAnsi="Calibri" w:cs="Calibri"/>
          <w:b/>
          <w:bCs/>
          <w:sz w:val="22"/>
          <w:szCs w:val="22"/>
        </w:rPr>
      </w:pPr>
      <w:r>
        <w:rPr>
          <w:rFonts w:ascii="Calibri" w:hAnsi="Calibri" w:cs="Calibri"/>
          <w:sz w:val="22"/>
          <w:szCs w:val="22"/>
        </w:rPr>
        <w:lastRenderedPageBreak/>
        <w:t>DACs establish and release INSPIRE compliant view and download services, directly linked to portal metadata records (</w:t>
      </w:r>
      <w:r>
        <w:rPr>
          <w:rFonts w:ascii="Calibri" w:hAnsi="Calibri" w:cs="Calibri"/>
          <w:b/>
          <w:sz w:val="22"/>
          <w:szCs w:val="22"/>
        </w:rPr>
        <w:t>KR1, DR1, DR6</w:t>
      </w:r>
      <w:r>
        <w:rPr>
          <w:rFonts w:ascii="Calibri" w:hAnsi="Calibri" w:cs="Calibri"/>
          <w:sz w:val="22"/>
          <w:szCs w:val="22"/>
        </w:rPr>
        <w:t>) (Enhancing User Experience and Meeting Policy Requirements).</w:t>
      </w:r>
    </w:p>
    <w:p w:rsidR="00B920A9" w:rsidRDefault="00B920A9" w:rsidP="00B920A9">
      <w:pPr>
        <w:pStyle w:val="ListParagraph"/>
        <w:numPr>
          <w:ilvl w:val="0"/>
          <w:numId w:val="8"/>
        </w:numPr>
        <w:jc w:val="both"/>
        <w:rPr>
          <w:rFonts w:ascii="Calibri" w:hAnsi="Calibri" w:cs="Calibri"/>
          <w:sz w:val="22"/>
          <w:szCs w:val="22"/>
        </w:rPr>
      </w:pPr>
      <w:r>
        <w:rPr>
          <w:rFonts w:ascii="Calibri" w:hAnsi="Calibri" w:cs="Calibri"/>
          <w:sz w:val="22"/>
          <w:szCs w:val="22"/>
        </w:rPr>
        <w:t>Encourage wider re-use of data held within MEDIN DACs by holding events where the community is encouraged to access the data and build products. e.g. Support another MEDIN Codefest with WS6 Communications, with an emphasis on UKDMOS.</w:t>
      </w:r>
    </w:p>
    <w:p w:rsidR="00B920A9" w:rsidRDefault="00B920A9" w:rsidP="00B920A9">
      <w:pPr>
        <w:pStyle w:val="ListParagraph"/>
        <w:numPr>
          <w:ilvl w:val="0"/>
          <w:numId w:val="8"/>
        </w:numPr>
        <w:spacing w:after="120"/>
        <w:jc w:val="both"/>
        <w:rPr>
          <w:rFonts w:ascii="Calibri" w:hAnsi="Calibri" w:cs="Calibri"/>
          <w:sz w:val="22"/>
          <w:szCs w:val="22"/>
        </w:rPr>
      </w:pPr>
      <w:r>
        <w:rPr>
          <w:rFonts w:ascii="Calibri" w:hAnsi="Calibri" w:cs="Calibri"/>
          <w:sz w:val="22"/>
          <w:szCs w:val="22"/>
        </w:rPr>
        <w:t>Liaise and publish data for integration with existing/and emerging tools and initiatives (e.g. CefMAT</w:t>
      </w:r>
      <w:r>
        <w:rPr>
          <w:rStyle w:val="FootnoteReference"/>
          <w:rFonts w:ascii="Calibri" w:hAnsi="Calibri" w:cs="Calibri"/>
          <w:sz w:val="22"/>
          <w:szCs w:val="22"/>
        </w:rPr>
        <w:footnoteReference w:id="1"/>
      </w:r>
      <w:r>
        <w:rPr>
          <w:rFonts w:ascii="Calibri" w:hAnsi="Calibri" w:cs="Calibri"/>
          <w:sz w:val="22"/>
          <w:szCs w:val="22"/>
        </w:rPr>
        <w:t xml:space="preserve"> and EMODNET</w:t>
      </w:r>
      <w:r>
        <w:rPr>
          <w:rStyle w:val="FootnoteReference"/>
          <w:rFonts w:ascii="Calibri" w:hAnsi="Calibri" w:cs="Calibri"/>
          <w:sz w:val="22"/>
          <w:szCs w:val="22"/>
        </w:rPr>
        <w:footnoteReference w:id="2"/>
      </w:r>
      <w:r>
        <w:rPr>
          <w:rFonts w:ascii="Calibri" w:hAnsi="Calibri" w:cs="Calibri"/>
          <w:sz w:val="22"/>
          <w:szCs w:val="22"/>
        </w:rPr>
        <w:t xml:space="preserve">) (Link with WS4). </w:t>
      </w:r>
    </w:p>
    <w:p w:rsidR="00B920A9" w:rsidRPr="009E7DB2" w:rsidRDefault="00B920A9" w:rsidP="00B920A9">
      <w:pPr>
        <w:pStyle w:val="ListParagraph"/>
        <w:numPr>
          <w:ilvl w:val="0"/>
          <w:numId w:val="8"/>
        </w:numPr>
        <w:spacing w:after="120"/>
        <w:jc w:val="both"/>
        <w:rPr>
          <w:rFonts w:asciiTheme="minorHAnsi" w:hAnsiTheme="minorHAnsi" w:cs="Calibri"/>
          <w:sz w:val="22"/>
          <w:szCs w:val="22"/>
        </w:rPr>
      </w:pPr>
      <w:r w:rsidRPr="009E7DB2">
        <w:rPr>
          <w:rFonts w:asciiTheme="minorHAnsi" w:hAnsiTheme="minorHAnsi" w:cs="Calibri"/>
          <w:sz w:val="22"/>
          <w:szCs w:val="22"/>
        </w:rPr>
        <w:t xml:space="preserve">Publish </w:t>
      </w:r>
      <w:r w:rsidRPr="009E7DB2">
        <w:rPr>
          <w:rFonts w:asciiTheme="minorHAnsi" w:eastAsia="Arial" w:hAnsiTheme="minorHAnsi" w:cs="Arial"/>
          <w:iCs/>
          <w:color w:val="000000"/>
          <w:kern w:val="24"/>
          <w:sz w:val="22"/>
          <w:szCs w:val="22"/>
        </w:rPr>
        <w:t>centralised guidance on use of persistent identifiers for marine data</w:t>
      </w:r>
      <w:r>
        <w:rPr>
          <w:rFonts w:asciiTheme="minorHAnsi" w:eastAsia="Arial" w:hAnsiTheme="minorHAnsi" w:cs="Arial"/>
          <w:iCs/>
          <w:color w:val="000000"/>
          <w:kern w:val="24"/>
          <w:sz w:val="22"/>
          <w:szCs w:val="22"/>
        </w:rPr>
        <w:t xml:space="preserve"> to promote consistency across the DACs</w:t>
      </w:r>
      <w:r w:rsidRPr="009E7DB2">
        <w:rPr>
          <w:rFonts w:asciiTheme="minorHAnsi" w:eastAsia="Arial" w:hAnsiTheme="minorHAnsi" w:cs="Arial"/>
          <w:iCs/>
          <w:color w:val="000000"/>
          <w:kern w:val="24"/>
          <w:sz w:val="22"/>
          <w:szCs w:val="22"/>
        </w:rPr>
        <w:t>.</w:t>
      </w:r>
    </w:p>
    <w:p w:rsidR="00B920A9" w:rsidRDefault="00B920A9" w:rsidP="00B920A9">
      <w:pPr>
        <w:ind w:firstLine="284"/>
        <w:jc w:val="both"/>
        <w:rPr>
          <w:rFonts w:ascii="Calibri" w:hAnsi="Calibri" w:cs="Calibri"/>
          <w:b/>
          <w:bCs/>
          <w:sz w:val="22"/>
          <w:szCs w:val="22"/>
        </w:rPr>
      </w:pPr>
      <w:r>
        <w:rPr>
          <w:rFonts w:ascii="Calibri" w:hAnsi="Calibri" w:cs="Calibri"/>
          <w:b/>
          <w:bCs/>
          <w:sz w:val="22"/>
          <w:szCs w:val="22"/>
        </w:rPr>
        <w:t>Reporting and DAC Network Management</w:t>
      </w:r>
    </w:p>
    <w:p w:rsidR="00B920A9" w:rsidRDefault="00B920A9" w:rsidP="00B920A9">
      <w:pPr>
        <w:pStyle w:val="ListParagraph"/>
        <w:numPr>
          <w:ilvl w:val="0"/>
          <w:numId w:val="9"/>
        </w:numPr>
        <w:jc w:val="both"/>
        <w:rPr>
          <w:rFonts w:ascii="Calibri" w:hAnsi="Calibri" w:cs="Calibri"/>
          <w:sz w:val="22"/>
          <w:szCs w:val="22"/>
        </w:rPr>
      </w:pPr>
      <w:r>
        <w:rPr>
          <w:rFonts w:ascii="Calibri" w:hAnsi="Calibri" w:cs="Calibri"/>
          <w:sz w:val="22"/>
          <w:szCs w:val="22"/>
        </w:rPr>
        <w:t>Review DAC accreditation process – e.g. consider adopting a wider accreditation process.</w:t>
      </w:r>
    </w:p>
    <w:p w:rsidR="00B920A9" w:rsidRDefault="00B920A9" w:rsidP="00B920A9">
      <w:pPr>
        <w:pStyle w:val="ListParagraph"/>
        <w:numPr>
          <w:ilvl w:val="0"/>
          <w:numId w:val="9"/>
        </w:numPr>
        <w:jc w:val="both"/>
        <w:rPr>
          <w:rFonts w:ascii="Calibri" w:hAnsi="Calibri" w:cs="Calibri"/>
          <w:sz w:val="22"/>
          <w:szCs w:val="22"/>
        </w:rPr>
      </w:pPr>
      <w:r>
        <w:rPr>
          <w:rFonts w:ascii="Calibri" w:hAnsi="Calibri" w:cs="Calibri"/>
          <w:sz w:val="22"/>
          <w:szCs w:val="22"/>
        </w:rPr>
        <w:t>DAC development. Working with existing DACs on developing roles/services.</w:t>
      </w:r>
    </w:p>
    <w:p w:rsidR="00B920A9" w:rsidRDefault="00B920A9" w:rsidP="00B920A9">
      <w:pPr>
        <w:jc w:val="both"/>
        <w:rPr>
          <w:rFonts w:ascii="Calibri" w:hAnsi="Calibri" w:cs="Calibri"/>
          <w:b/>
          <w:sz w:val="22"/>
          <w:szCs w:val="22"/>
        </w:rPr>
      </w:pPr>
    </w:p>
    <w:p w:rsidR="00B920A9" w:rsidRDefault="00B920A9" w:rsidP="00B920A9">
      <w:pPr>
        <w:pStyle w:val="ListParagraph"/>
        <w:numPr>
          <w:ilvl w:val="0"/>
          <w:numId w:val="10"/>
        </w:numPr>
        <w:spacing w:after="120"/>
        <w:ind w:right="454"/>
        <w:rPr>
          <w:rFonts w:ascii="Calibri" w:hAnsi="Calibri" w:cs="Calibri"/>
          <w:b/>
          <w:bCs/>
        </w:rPr>
      </w:pPr>
      <w:r>
        <w:rPr>
          <w:rFonts w:ascii="Calibri" w:hAnsi="Calibri" w:cs="Calibri"/>
          <w:b/>
          <w:bCs/>
        </w:rPr>
        <w:t xml:space="preserve">Consolidation of DAC Network Coverage </w:t>
      </w:r>
    </w:p>
    <w:p w:rsidR="00B920A9" w:rsidRDefault="00B920A9" w:rsidP="00B920A9">
      <w:pPr>
        <w:spacing w:after="120"/>
        <w:ind w:right="454"/>
        <w:rPr>
          <w:rFonts w:ascii="Arial" w:hAnsi="Arial" w:cs="Arial"/>
          <w:b/>
          <w:sz w:val="22"/>
          <w:szCs w:val="22"/>
          <w:u w:val="single"/>
        </w:rPr>
      </w:pPr>
      <w:r>
        <w:rPr>
          <w:rFonts w:asciiTheme="minorHAnsi" w:hAnsiTheme="minorHAnsi" w:cs="Arial"/>
          <w:b/>
          <w:sz w:val="22"/>
          <w:szCs w:val="22"/>
          <w:u w:val="single"/>
        </w:rPr>
        <w:t>OPERATIONAL TASKS</w:t>
      </w:r>
      <w:r>
        <w:rPr>
          <w:rFonts w:ascii="Arial" w:hAnsi="Arial" w:cs="Arial"/>
          <w:b/>
          <w:sz w:val="22"/>
          <w:szCs w:val="22"/>
          <w:u w:val="single"/>
        </w:rPr>
        <w:t xml:space="preserve"> </w:t>
      </w:r>
    </w:p>
    <w:p w:rsidR="00B920A9" w:rsidRDefault="00B920A9" w:rsidP="00B920A9">
      <w:pPr>
        <w:pStyle w:val="ListParagraph"/>
        <w:numPr>
          <w:ilvl w:val="0"/>
          <w:numId w:val="11"/>
        </w:numPr>
        <w:jc w:val="both"/>
        <w:rPr>
          <w:rFonts w:ascii="Calibri" w:hAnsi="Calibri" w:cs="Calibri"/>
          <w:sz w:val="22"/>
          <w:szCs w:val="22"/>
        </w:rPr>
      </w:pPr>
      <w:r>
        <w:rPr>
          <w:rFonts w:ascii="Calibri" w:hAnsi="Calibri" w:cs="Calibri"/>
          <w:sz w:val="22"/>
          <w:szCs w:val="22"/>
        </w:rPr>
        <w:t>Complete the FishDAC to incorporate Northern Ireland and inshore data.</w:t>
      </w:r>
      <w:r>
        <w:rPr>
          <w:rFonts w:ascii="Calibri" w:hAnsi="Calibri" w:cs="Calibri"/>
          <w:iCs/>
          <w:snapToGrid w:val="0"/>
          <w:color w:val="00B050"/>
          <w:sz w:val="22"/>
          <w:szCs w:val="22"/>
        </w:rPr>
        <w:t xml:space="preserve"> </w:t>
      </w:r>
    </w:p>
    <w:p w:rsidR="00B920A9" w:rsidRDefault="00B920A9" w:rsidP="00B920A9">
      <w:pPr>
        <w:pStyle w:val="ListParagraph"/>
        <w:numPr>
          <w:ilvl w:val="0"/>
          <w:numId w:val="11"/>
        </w:numPr>
        <w:jc w:val="both"/>
        <w:rPr>
          <w:rFonts w:ascii="Calibri" w:hAnsi="Calibri" w:cs="Calibri"/>
          <w:sz w:val="22"/>
          <w:szCs w:val="22"/>
        </w:rPr>
      </w:pPr>
      <w:r>
        <w:rPr>
          <w:rFonts w:ascii="Calibri" w:hAnsi="Calibri" w:cs="Calibri"/>
          <w:sz w:val="22"/>
          <w:szCs w:val="22"/>
        </w:rPr>
        <w:t>Complete the Historic Environment DAC with Department for Communities, Northern Ireland and maintain links with Historic England.</w:t>
      </w:r>
    </w:p>
    <w:p w:rsidR="00B920A9" w:rsidRDefault="00B920A9" w:rsidP="00B920A9">
      <w:pPr>
        <w:jc w:val="both"/>
        <w:rPr>
          <w:rFonts w:ascii="Calibri" w:hAnsi="Calibri" w:cs="Calibri"/>
          <w:b/>
          <w:sz w:val="22"/>
          <w:szCs w:val="22"/>
        </w:rPr>
      </w:pPr>
    </w:p>
    <w:p w:rsidR="00B920A9" w:rsidRDefault="00B920A9" w:rsidP="00B920A9">
      <w:pPr>
        <w:spacing w:after="120"/>
        <w:ind w:right="454"/>
        <w:rPr>
          <w:rFonts w:asciiTheme="minorHAnsi" w:hAnsiTheme="minorHAnsi" w:cs="Arial"/>
          <w:b/>
          <w:sz w:val="22"/>
          <w:szCs w:val="22"/>
          <w:u w:val="single"/>
        </w:rPr>
      </w:pPr>
      <w:r>
        <w:rPr>
          <w:rFonts w:asciiTheme="minorHAnsi" w:hAnsiTheme="minorHAnsi" w:cs="Arial"/>
          <w:b/>
          <w:sz w:val="22"/>
          <w:szCs w:val="22"/>
          <w:u w:val="single"/>
        </w:rPr>
        <w:t>DEVELOPMENT TASKS:</w:t>
      </w:r>
    </w:p>
    <w:p w:rsidR="00B920A9" w:rsidRDefault="00B920A9" w:rsidP="00B920A9">
      <w:pPr>
        <w:pStyle w:val="ListParagraph"/>
        <w:numPr>
          <w:ilvl w:val="0"/>
          <w:numId w:val="12"/>
        </w:numPr>
        <w:jc w:val="both"/>
        <w:rPr>
          <w:rFonts w:ascii="Calibri" w:hAnsi="Calibri" w:cs="Calibri"/>
          <w:sz w:val="22"/>
          <w:szCs w:val="22"/>
        </w:rPr>
      </w:pPr>
      <w:r>
        <w:rPr>
          <w:rFonts w:ascii="Calibri" w:hAnsi="Calibri" w:cs="Calibri"/>
          <w:sz w:val="22"/>
          <w:szCs w:val="22"/>
        </w:rPr>
        <w:t>Meet MSFD requirements by managing relevant data in DAC network where required and ensuring subsets of data used for assessments can be captured (Meeting Policy Requirements).</w:t>
      </w:r>
    </w:p>
    <w:p w:rsidR="00B920A9" w:rsidRDefault="00B920A9" w:rsidP="00B920A9">
      <w:pPr>
        <w:pStyle w:val="ListParagraph"/>
        <w:numPr>
          <w:ilvl w:val="0"/>
          <w:numId w:val="12"/>
        </w:numPr>
        <w:jc w:val="both"/>
        <w:rPr>
          <w:rFonts w:ascii="Calibri" w:hAnsi="Calibri" w:cs="Calibri"/>
          <w:sz w:val="22"/>
          <w:szCs w:val="22"/>
        </w:rPr>
      </w:pPr>
      <w:r>
        <w:rPr>
          <w:rFonts w:ascii="Calibri" w:hAnsi="Calibri" w:cs="Calibri"/>
          <w:sz w:val="22"/>
          <w:szCs w:val="22"/>
        </w:rPr>
        <w:t>Expand DAC data coverage by identifying data archiving solution for at least one of the data themes not currently covered by MEDIN DACs (socio-economic data, birds).</w:t>
      </w:r>
    </w:p>
    <w:p w:rsidR="00B920A9" w:rsidRDefault="00B920A9" w:rsidP="00B920A9">
      <w:pPr>
        <w:pStyle w:val="ListParagraph"/>
        <w:numPr>
          <w:ilvl w:val="0"/>
          <w:numId w:val="12"/>
        </w:numPr>
        <w:rPr>
          <w:rFonts w:asciiTheme="minorHAnsi" w:hAnsiTheme="minorHAnsi" w:cs="Arial"/>
          <w:sz w:val="22"/>
          <w:szCs w:val="22"/>
        </w:rPr>
      </w:pPr>
      <w:r>
        <w:rPr>
          <w:rFonts w:asciiTheme="minorHAnsi" w:hAnsiTheme="minorHAnsi" w:cs="Arial"/>
          <w:sz w:val="22"/>
          <w:szCs w:val="22"/>
        </w:rPr>
        <w:t xml:space="preserve">Archive major new datasets.  DACs to confirm approach/coverage/funding, e.g. </w:t>
      </w:r>
      <w:r>
        <w:rPr>
          <w:rFonts w:ascii="Calibri" w:hAnsi="Calibri" w:cs="Calibri"/>
          <w:sz w:val="22"/>
          <w:szCs w:val="22"/>
        </w:rPr>
        <w:t>Marine Conservation Zone site survey data</w:t>
      </w:r>
      <w:r>
        <w:rPr>
          <w:rFonts w:ascii="Calibri" w:hAnsi="Calibri" w:cs="Calibri"/>
          <w:iCs/>
          <w:snapToGrid w:val="0"/>
          <w:color w:val="00B050"/>
          <w:sz w:val="22"/>
          <w:szCs w:val="22"/>
        </w:rPr>
        <w:t xml:space="preserve"> </w:t>
      </w:r>
      <w:r>
        <w:rPr>
          <w:rFonts w:ascii="Calibri" w:hAnsi="Calibri"/>
          <w:sz w:val="22"/>
          <w:szCs w:val="22"/>
        </w:rPr>
        <w:t>(Expanding MEDIN Coverage).</w:t>
      </w:r>
    </w:p>
    <w:p w:rsidR="00B920A9" w:rsidRPr="000F55DB" w:rsidRDefault="00B920A9" w:rsidP="00B920A9">
      <w:pPr>
        <w:pStyle w:val="ListParagraph"/>
        <w:numPr>
          <w:ilvl w:val="0"/>
          <w:numId w:val="12"/>
        </w:numPr>
        <w:spacing w:after="60"/>
        <w:rPr>
          <w:rFonts w:asciiTheme="minorHAnsi" w:hAnsiTheme="minorHAnsi" w:cs="Arial"/>
          <w:i/>
          <w:color w:val="FF0000"/>
          <w:sz w:val="22"/>
          <w:szCs w:val="22"/>
        </w:rPr>
      </w:pPr>
      <w:r w:rsidRPr="000F55DB">
        <w:rPr>
          <w:rFonts w:asciiTheme="minorHAnsi" w:hAnsiTheme="minorHAnsi" w:cs="Arial"/>
          <w:i/>
          <w:color w:val="FF0000"/>
          <w:sz w:val="22"/>
          <w:szCs w:val="22"/>
        </w:rPr>
        <w:t>Consider small data archiving projects with a focus on direct access to data (Expanding MEDIN Coverage).</w:t>
      </w:r>
      <w:r>
        <w:rPr>
          <w:rStyle w:val="FootnoteReference"/>
          <w:rFonts w:asciiTheme="minorHAnsi" w:hAnsiTheme="minorHAnsi"/>
          <w:i/>
          <w:color w:val="FF0000"/>
          <w:sz w:val="22"/>
          <w:szCs w:val="22"/>
        </w:rPr>
        <w:footnoteReference w:customMarkFollows="1" w:id="3"/>
        <w:t>*</w:t>
      </w:r>
    </w:p>
    <w:p w:rsidR="00B920A9" w:rsidRDefault="00B920A9" w:rsidP="00B920A9">
      <w:pPr>
        <w:ind w:left="709"/>
        <w:jc w:val="both"/>
        <w:rPr>
          <w:rFonts w:ascii="Calibri" w:hAnsi="Calibri" w:cs="Calibri"/>
          <w:sz w:val="22"/>
          <w:szCs w:val="22"/>
        </w:rPr>
      </w:pPr>
    </w:p>
    <w:p w:rsidR="00B920A9" w:rsidRDefault="00B920A9" w:rsidP="00B920A9">
      <w:pPr>
        <w:pStyle w:val="ListParagraph"/>
        <w:numPr>
          <w:ilvl w:val="0"/>
          <w:numId w:val="10"/>
        </w:numPr>
        <w:jc w:val="both"/>
        <w:rPr>
          <w:rFonts w:ascii="Calibri" w:hAnsi="Calibri" w:cs="Calibri"/>
          <w:b/>
          <w:bCs/>
        </w:rPr>
      </w:pPr>
      <w:r>
        <w:rPr>
          <w:rFonts w:ascii="Calibri" w:hAnsi="Calibri" w:cs="Calibri"/>
          <w:b/>
          <w:bCs/>
        </w:rPr>
        <w:t xml:space="preserve">Coordination with other Work Streams </w:t>
      </w:r>
    </w:p>
    <w:p w:rsidR="00B920A9" w:rsidRDefault="00B920A9" w:rsidP="00B920A9">
      <w:pPr>
        <w:pStyle w:val="ListParagraph"/>
        <w:ind w:left="360"/>
        <w:jc w:val="both"/>
        <w:rPr>
          <w:rFonts w:ascii="Calibri" w:hAnsi="Calibri" w:cs="Calibri"/>
        </w:rPr>
      </w:pPr>
    </w:p>
    <w:p w:rsidR="00B920A9" w:rsidRDefault="00B920A9" w:rsidP="00B920A9">
      <w:pPr>
        <w:spacing w:after="240"/>
        <w:ind w:right="454"/>
        <w:rPr>
          <w:rFonts w:ascii="Arial" w:hAnsi="Arial" w:cs="Arial"/>
          <w:b/>
          <w:sz w:val="22"/>
          <w:szCs w:val="22"/>
          <w:u w:val="single"/>
        </w:rPr>
      </w:pPr>
      <w:r>
        <w:rPr>
          <w:rFonts w:asciiTheme="minorHAnsi" w:hAnsiTheme="minorHAnsi" w:cs="Arial"/>
          <w:b/>
          <w:sz w:val="22"/>
          <w:szCs w:val="22"/>
          <w:u w:val="single"/>
        </w:rPr>
        <w:t>OPERATIONAL TASKS</w:t>
      </w:r>
      <w:r>
        <w:rPr>
          <w:rFonts w:ascii="Arial" w:hAnsi="Arial" w:cs="Arial"/>
          <w:b/>
          <w:sz w:val="22"/>
          <w:szCs w:val="22"/>
          <w:u w:val="single"/>
        </w:rPr>
        <w:t xml:space="preserve"> </w:t>
      </w:r>
    </w:p>
    <w:p w:rsidR="00B920A9" w:rsidRDefault="00B920A9" w:rsidP="00B920A9">
      <w:pPr>
        <w:pStyle w:val="ListParagraph"/>
        <w:numPr>
          <w:ilvl w:val="0"/>
          <w:numId w:val="13"/>
        </w:numPr>
        <w:jc w:val="both"/>
        <w:rPr>
          <w:rFonts w:ascii="Calibri" w:hAnsi="Calibri" w:cs="Calibri"/>
          <w:sz w:val="22"/>
          <w:szCs w:val="22"/>
        </w:rPr>
      </w:pPr>
      <w:r>
        <w:rPr>
          <w:rFonts w:ascii="Calibri" w:hAnsi="Calibri" w:cs="Calibri"/>
          <w:sz w:val="22"/>
          <w:szCs w:val="22"/>
        </w:rPr>
        <w:t>Standards: Ensure DACs meet INSPIRE and international compliance, and deliver clear UK data standards for the collection, collation and archive of marine environmental data.</w:t>
      </w:r>
    </w:p>
    <w:p w:rsidR="00B920A9" w:rsidRPr="009E4AD1" w:rsidRDefault="00B920A9" w:rsidP="00B920A9">
      <w:pPr>
        <w:pStyle w:val="ListParagraph"/>
        <w:numPr>
          <w:ilvl w:val="0"/>
          <w:numId w:val="13"/>
        </w:numPr>
        <w:jc w:val="both"/>
        <w:rPr>
          <w:rFonts w:ascii="Calibri" w:hAnsi="Calibri" w:cs="Calibri"/>
          <w:i/>
          <w:sz w:val="22"/>
          <w:szCs w:val="22"/>
        </w:rPr>
      </w:pPr>
      <w:r w:rsidRPr="009E4AD1">
        <w:rPr>
          <w:rFonts w:ascii="Calibri" w:hAnsi="Calibri" w:cs="Calibri"/>
          <w:i/>
          <w:sz w:val="22"/>
          <w:szCs w:val="22"/>
        </w:rPr>
        <w:t xml:space="preserve">Portal: Work with MEDIN portal to ensure MEDIN metadata standard is being consistently applied by the DACs. DACs to work to ensure 100% of metadata in portal passes new validation tool checks. </w:t>
      </w:r>
    </w:p>
    <w:p w:rsidR="00B920A9" w:rsidRDefault="00B920A9" w:rsidP="00B920A9">
      <w:pPr>
        <w:pStyle w:val="ListParagraph"/>
        <w:numPr>
          <w:ilvl w:val="0"/>
          <w:numId w:val="13"/>
        </w:numPr>
        <w:jc w:val="both"/>
        <w:rPr>
          <w:rFonts w:ascii="Calibri" w:hAnsi="Calibri" w:cs="Calibri"/>
          <w:sz w:val="22"/>
          <w:szCs w:val="22"/>
        </w:rPr>
      </w:pPr>
      <w:r>
        <w:rPr>
          <w:rFonts w:ascii="Calibri" w:hAnsi="Calibri" w:cs="Calibri"/>
          <w:sz w:val="22"/>
          <w:szCs w:val="22"/>
        </w:rPr>
        <w:t>Communications: Complete improvements to the DAC component of the MEDIN website.</w:t>
      </w:r>
    </w:p>
    <w:p w:rsidR="00B920A9" w:rsidRDefault="00B920A9" w:rsidP="00B920A9">
      <w:pPr>
        <w:jc w:val="both"/>
      </w:pPr>
    </w:p>
    <w:p w:rsidR="00B920A9" w:rsidRDefault="00B920A9" w:rsidP="00B920A9">
      <w:pPr>
        <w:jc w:val="both"/>
        <w:rPr>
          <w:rFonts w:asciiTheme="minorHAnsi" w:hAnsiTheme="minorHAnsi" w:cs="Arial"/>
          <w:sz w:val="22"/>
          <w:szCs w:val="22"/>
        </w:rPr>
      </w:pPr>
    </w:p>
    <w:p w:rsidR="00B920A9" w:rsidRDefault="00B920A9" w:rsidP="00B920A9">
      <w:pPr>
        <w:rPr>
          <w:rFonts w:ascii="Arial" w:hAnsi="Arial"/>
          <w:b/>
          <w:snapToGrid w:val="0"/>
        </w:rPr>
      </w:pPr>
      <w:r>
        <w:rPr>
          <w:rFonts w:ascii="Arial" w:hAnsi="Arial"/>
          <w:b/>
          <w:snapToGrid w:val="0"/>
        </w:rPr>
        <w:t>DACs Deliverables Table 2018-19</w:t>
      </w:r>
    </w:p>
    <w:tbl>
      <w:tblPr>
        <w:tblStyle w:val="LightList-Accent11"/>
        <w:tblW w:w="0" w:type="auto"/>
        <w:tblLook w:val="04A0" w:firstRow="1" w:lastRow="0" w:firstColumn="1" w:lastColumn="0" w:noHBand="0" w:noVBand="1"/>
      </w:tblPr>
      <w:tblGrid>
        <w:gridCol w:w="3484"/>
        <w:gridCol w:w="6"/>
        <w:gridCol w:w="1221"/>
        <w:gridCol w:w="6"/>
        <w:gridCol w:w="3576"/>
      </w:tblGrid>
      <w:tr w:rsidR="00B920A9" w:rsidTr="000F55D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90" w:type="dxa"/>
            <w:gridSpan w:val="2"/>
            <w:tcBorders>
              <w:top w:val="single" w:sz="8" w:space="0" w:color="5B9BD5" w:themeColor="accent1"/>
              <w:left w:val="single" w:sz="8" w:space="0" w:color="5B9BD5" w:themeColor="accent1"/>
              <w:bottom w:val="nil"/>
              <w:right w:val="nil"/>
            </w:tcBorders>
            <w:hideMark/>
          </w:tcPr>
          <w:p w:rsidR="00B920A9" w:rsidRDefault="00B920A9" w:rsidP="000F55DB">
            <w:pPr>
              <w:pStyle w:val="NumPara6"/>
              <w:numPr>
                <w:ilvl w:val="0"/>
                <w:numId w:val="0"/>
              </w:numPr>
              <w:spacing w:before="0" w:after="0"/>
              <w:contextualSpacing/>
              <w:jc w:val="left"/>
              <w:rPr>
                <w:rFonts w:asciiTheme="minorHAnsi" w:hAnsiTheme="minorHAnsi"/>
                <w:sz w:val="20"/>
                <w:szCs w:val="20"/>
              </w:rPr>
            </w:pPr>
            <w:r>
              <w:rPr>
                <w:rFonts w:asciiTheme="minorHAnsi" w:hAnsiTheme="minorHAnsi"/>
                <w:sz w:val="20"/>
                <w:szCs w:val="20"/>
              </w:rPr>
              <w:t>Q1 Deliverables</w:t>
            </w:r>
          </w:p>
        </w:tc>
        <w:tc>
          <w:tcPr>
            <w:tcW w:w="1227" w:type="dxa"/>
            <w:gridSpan w:val="2"/>
            <w:tcBorders>
              <w:top w:val="single" w:sz="8" w:space="0" w:color="5B9BD5" w:themeColor="accent1"/>
              <w:left w:val="nil"/>
              <w:bottom w:val="nil"/>
              <w:right w:val="nil"/>
            </w:tcBorders>
            <w:hideMark/>
          </w:tcPr>
          <w:p w:rsidR="00B920A9" w:rsidRDefault="00B920A9" w:rsidP="000F55DB">
            <w:pPr>
              <w:pStyle w:val="NumPara6"/>
              <w:numPr>
                <w:ilvl w:val="0"/>
                <w:numId w:val="0"/>
              </w:numPr>
              <w:spacing w:before="0" w:after="0"/>
              <w:contextual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Status</w:t>
            </w:r>
          </w:p>
        </w:tc>
        <w:tc>
          <w:tcPr>
            <w:tcW w:w="3576" w:type="dxa"/>
            <w:tcBorders>
              <w:top w:val="single" w:sz="8" w:space="0" w:color="5B9BD5" w:themeColor="accent1"/>
              <w:left w:val="nil"/>
              <w:bottom w:val="nil"/>
              <w:right w:val="single" w:sz="8" w:space="0" w:color="5B9BD5" w:themeColor="accent1"/>
            </w:tcBorders>
            <w:hideMark/>
          </w:tcPr>
          <w:p w:rsidR="00B920A9" w:rsidRDefault="00B920A9" w:rsidP="000F55DB">
            <w:pPr>
              <w:pStyle w:val="NumPara6"/>
              <w:numPr>
                <w:ilvl w:val="0"/>
                <w:numId w:val="0"/>
              </w:numPr>
              <w:spacing w:before="0" w:after="0"/>
              <w:contextual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Commentary</w:t>
            </w:r>
          </w:p>
        </w:tc>
      </w:tr>
      <w:tr w:rsidR="00B920A9" w:rsidTr="000F55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90" w:type="dxa"/>
            <w:gridSpan w:val="2"/>
            <w:tcBorders>
              <w:right w:val="nil"/>
            </w:tcBorders>
            <w:hideMark/>
          </w:tcPr>
          <w:p w:rsidR="00B920A9" w:rsidRDefault="00B920A9" w:rsidP="000F55DB">
            <w:pPr>
              <w:pStyle w:val="NumPara6"/>
              <w:numPr>
                <w:ilvl w:val="0"/>
                <w:numId w:val="0"/>
              </w:numPr>
              <w:spacing w:before="0" w:after="0"/>
              <w:contextualSpacing/>
              <w:jc w:val="left"/>
              <w:rPr>
                <w:rFonts w:asciiTheme="minorHAnsi" w:hAnsiTheme="minorHAnsi"/>
                <w:sz w:val="20"/>
                <w:szCs w:val="20"/>
              </w:rPr>
            </w:pPr>
            <w:r>
              <w:rPr>
                <w:rFonts w:asciiTheme="minorHAnsi" w:hAnsiTheme="minorHAnsi"/>
                <w:sz w:val="20"/>
                <w:szCs w:val="20"/>
              </w:rPr>
              <w:lastRenderedPageBreak/>
              <w:t>DAC Annual Reports (2017-18) according to pro-forma (KT1.4)</w:t>
            </w:r>
          </w:p>
        </w:tc>
        <w:tc>
          <w:tcPr>
            <w:tcW w:w="1227" w:type="dxa"/>
            <w:gridSpan w:val="2"/>
            <w:tcBorders>
              <w:left w:val="nil"/>
              <w:righ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3576" w:type="dxa"/>
            <w:tcBorders>
              <w:lef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B920A9" w:rsidTr="000F55DB">
        <w:trPr>
          <w:trHeight w:val="113"/>
        </w:trPr>
        <w:tc>
          <w:tcPr>
            <w:cnfStyle w:val="001000000000" w:firstRow="0" w:lastRow="0" w:firstColumn="1" w:lastColumn="0" w:oddVBand="0" w:evenVBand="0" w:oddHBand="0" w:evenHBand="0" w:firstRowFirstColumn="0" w:firstRowLastColumn="0" w:lastRowFirstColumn="0" w:lastRowLastColumn="0"/>
            <w:tcW w:w="3490" w:type="dxa"/>
            <w:gridSpan w:val="2"/>
            <w:tcBorders>
              <w:top w:val="nil"/>
              <w:left w:val="single" w:sz="8" w:space="0" w:color="5B9BD5" w:themeColor="accent1"/>
              <w:bottom w:val="nil"/>
              <w:right w:val="nil"/>
            </w:tcBorders>
            <w:hideMark/>
          </w:tcPr>
          <w:p w:rsidR="00B920A9" w:rsidRDefault="00B920A9" w:rsidP="000F55DB">
            <w:pPr>
              <w:pStyle w:val="NumPara6"/>
              <w:numPr>
                <w:ilvl w:val="0"/>
                <w:numId w:val="0"/>
              </w:numPr>
              <w:spacing w:before="0" w:after="0"/>
              <w:contextualSpacing/>
              <w:jc w:val="left"/>
              <w:rPr>
                <w:rFonts w:asciiTheme="minorHAnsi" w:hAnsiTheme="minorHAnsi"/>
                <w:sz w:val="20"/>
                <w:szCs w:val="20"/>
              </w:rPr>
            </w:pPr>
            <w:r>
              <w:rPr>
                <w:rFonts w:asciiTheme="minorHAnsi" w:hAnsiTheme="minorHAnsi"/>
                <w:sz w:val="20"/>
                <w:szCs w:val="20"/>
              </w:rPr>
              <w:t>DAC working group meeting, to include session on persistent identifiers</w:t>
            </w:r>
          </w:p>
        </w:tc>
        <w:tc>
          <w:tcPr>
            <w:tcW w:w="1227" w:type="dxa"/>
            <w:gridSpan w:val="2"/>
            <w:tcBorders>
              <w:top w:val="nil"/>
              <w:left w:val="nil"/>
              <w:bottom w:val="nil"/>
              <w:right w:val="nil"/>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576" w:type="dxa"/>
            <w:tcBorders>
              <w:top w:val="nil"/>
              <w:left w:val="nil"/>
              <w:bottom w:val="nil"/>
              <w:right w:val="single" w:sz="8" w:space="0" w:color="5B9BD5" w:themeColor="accent1"/>
            </w:tcBorders>
            <w:hideMark/>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Planned for 26 April 2018</w:t>
            </w:r>
          </w:p>
        </w:tc>
      </w:tr>
      <w:tr w:rsidR="00B920A9" w:rsidTr="000F55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90" w:type="dxa"/>
            <w:gridSpan w:val="2"/>
            <w:tcBorders>
              <w:right w:val="nil"/>
            </w:tcBorders>
            <w:hideMark/>
          </w:tcPr>
          <w:p w:rsidR="00B920A9" w:rsidRDefault="00B920A9" w:rsidP="000F55DB">
            <w:pPr>
              <w:rPr>
                <w:rFonts w:cs="Calibri"/>
                <w:iCs/>
                <w:snapToGrid w:val="0"/>
                <w:sz w:val="20"/>
                <w:szCs w:val="20"/>
              </w:rPr>
            </w:pPr>
            <w:r>
              <w:rPr>
                <w:rFonts w:ascii="Calibri" w:hAnsi="Calibri" w:cs="Calibri"/>
                <w:iCs/>
                <w:snapToGrid w:val="0"/>
                <w:sz w:val="20"/>
                <w:szCs w:val="20"/>
              </w:rPr>
              <w:t>Plan MEDIN codefest feasibility and implementation in Q3 to demonstrate how MEDIN data and metadata can be used by UK marine community and beyond, with a focus on UKDMOS (monitoring data)</w:t>
            </w:r>
          </w:p>
        </w:tc>
        <w:tc>
          <w:tcPr>
            <w:tcW w:w="1227" w:type="dxa"/>
            <w:gridSpan w:val="2"/>
            <w:tcBorders>
              <w:left w:val="nil"/>
              <w:righ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3576" w:type="dxa"/>
            <w:tcBorders>
              <w:lef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B920A9" w:rsidTr="000F55DB">
        <w:trPr>
          <w:trHeight w:val="113"/>
        </w:trPr>
        <w:tc>
          <w:tcPr>
            <w:cnfStyle w:val="001000000000" w:firstRow="0" w:lastRow="0" w:firstColumn="1" w:lastColumn="0" w:oddVBand="0" w:evenVBand="0" w:oddHBand="0" w:evenHBand="0" w:firstRowFirstColumn="0" w:firstRowLastColumn="0" w:lastRowFirstColumn="0" w:lastRowLastColumn="0"/>
            <w:tcW w:w="3490" w:type="dxa"/>
            <w:gridSpan w:val="2"/>
            <w:tcBorders>
              <w:top w:val="nil"/>
              <w:left w:val="single" w:sz="8" w:space="0" w:color="5B9BD5" w:themeColor="accent1"/>
              <w:bottom w:val="nil"/>
              <w:right w:val="nil"/>
            </w:tcBorders>
            <w:hideMark/>
          </w:tcPr>
          <w:p w:rsidR="00B920A9" w:rsidRPr="00136000" w:rsidRDefault="00B920A9" w:rsidP="000F55DB">
            <w:pPr>
              <w:rPr>
                <w:rFonts w:cs="Calibri"/>
                <w:i/>
                <w:iCs/>
                <w:snapToGrid w:val="0"/>
                <w:sz w:val="20"/>
                <w:szCs w:val="20"/>
                <w:vertAlign w:val="superscript"/>
              </w:rPr>
            </w:pPr>
            <w:r w:rsidRPr="000F55DB">
              <w:rPr>
                <w:rFonts w:ascii="Calibri" w:hAnsi="Calibri" w:cs="Calibri"/>
                <w:i/>
                <w:iCs/>
                <w:snapToGrid w:val="0"/>
                <w:color w:val="FF0000"/>
                <w:sz w:val="20"/>
                <w:szCs w:val="20"/>
              </w:rPr>
              <w:t>Launch small data archiving project proposals from DACs with a focus on direct access to data including  monitoring data</w:t>
            </w:r>
            <w:r>
              <w:rPr>
                <w:rStyle w:val="FootnoteReference"/>
                <w:rFonts w:ascii="Calibri" w:hAnsi="Calibri" w:cs="Calibri"/>
                <w:i/>
                <w:iCs/>
                <w:snapToGrid w:val="0"/>
                <w:color w:val="FF0000"/>
                <w:sz w:val="20"/>
                <w:szCs w:val="20"/>
              </w:rPr>
              <w:footnoteReference w:customMarkFollows="1" w:id="4"/>
              <w:t>*</w:t>
            </w:r>
            <w:r w:rsidRPr="000F55DB">
              <w:rPr>
                <w:rFonts w:ascii="Calibri" w:hAnsi="Calibri" w:cs="Calibri"/>
                <w:i/>
                <w:iCs/>
                <w:snapToGrid w:val="0"/>
                <w:color w:val="FF0000"/>
                <w:sz w:val="20"/>
                <w:szCs w:val="20"/>
              </w:rPr>
              <w:t xml:space="preserve"> </w:t>
            </w:r>
          </w:p>
        </w:tc>
        <w:tc>
          <w:tcPr>
            <w:tcW w:w="1227" w:type="dxa"/>
            <w:gridSpan w:val="2"/>
            <w:tcBorders>
              <w:top w:val="nil"/>
              <w:left w:val="nil"/>
              <w:bottom w:val="nil"/>
              <w:right w:val="nil"/>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576" w:type="dxa"/>
            <w:tcBorders>
              <w:top w:val="nil"/>
              <w:left w:val="nil"/>
              <w:bottom w:val="nil"/>
              <w:right w:val="single" w:sz="8" w:space="0" w:color="5B9BD5" w:themeColor="accent1"/>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B920A9" w:rsidTr="000F55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90" w:type="dxa"/>
            <w:gridSpan w:val="2"/>
            <w:tcBorders>
              <w:right w:val="nil"/>
            </w:tcBorders>
            <w:hideMark/>
          </w:tcPr>
          <w:p w:rsidR="00B920A9" w:rsidRPr="009E4AD1" w:rsidRDefault="00B920A9" w:rsidP="000F55DB">
            <w:pPr>
              <w:rPr>
                <w:rFonts w:ascii="Calibri" w:hAnsi="Calibri" w:cs="Calibri"/>
                <w:iCs/>
                <w:snapToGrid w:val="0"/>
                <w:sz w:val="20"/>
                <w:szCs w:val="20"/>
              </w:rPr>
            </w:pPr>
            <w:r w:rsidRPr="009E4AD1">
              <w:rPr>
                <w:rFonts w:ascii="Calibri" w:hAnsi="Calibri" w:cs="Calibri"/>
                <w:iCs/>
                <w:snapToGrid w:val="0"/>
                <w:sz w:val="20"/>
                <w:szCs w:val="20"/>
              </w:rPr>
              <w:t>Monitor progress with MEDIN metadata validation by holding teleconference with DACs</w:t>
            </w:r>
          </w:p>
        </w:tc>
        <w:tc>
          <w:tcPr>
            <w:tcW w:w="1227" w:type="dxa"/>
            <w:gridSpan w:val="2"/>
            <w:tcBorders>
              <w:left w:val="nil"/>
              <w:righ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3576" w:type="dxa"/>
            <w:tcBorders>
              <w:lef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B920A9" w:rsidTr="000F55DB">
        <w:trPr>
          <w:trHeight w:val="113"/>
        </w:trPr>
        <w:tc>
          <w:tcPr>
            <w:cnfStyle w:val="001000000000" w:firstRow="0" w:lastRow="0" w:firstColumn="1" w:lastColumn="0" w:oddVBand="0" w:evenVBand="0" w:oddHBand="0" w:evenHBand="0" w:firstRowFirstColumn="0" w:firstRowLastColumn="0" w:lastRowFirstColumn="0" w:lastRowLastColumn="0"/>
            <w:tcW w:w="3490" w:type="dxa"/>
            <w:gridSpan w:val="2"/>
            <w:tcBorders>
              <w:top w:val="nil"/>
              <w:left w:val="single" w:sz="8" w:space="0" w:color="5B9BD5" w:themeColor="accent1"/>
              <w:bottom w:val="nil"/>
              <w:right w:val="nil"/>
            </w:tcBorders>
            <w:hideMark/>
          </w:tcPr>
          <w:p w:rsidR="00B920A9" w:rsidRPr="009E4AD1" w:rsidRDefault="00B920A9" w:rsidP="000F55DB">
            <w:pPr>
              <w:rPr>
                <w:rFonts w:ascii="Calibri" w:hAnsi="Calibri" w:cs="Calibri"/>
                <w:iCs/>
                <w:snapToGrid w:val="0"/>
                <w:sz w:val="20"/>
                <w:szCs w:val="20"/>
              </w:rPr>
            </w:pPr>
            <w:r w:rsidRPr="009E4AD1">
              <w:rPr>
                <w:rFonts w:ascii="Calibri" w:hAnsi="Calibri" w:cs="Calibri"/>
                <w:iCs/>
                <w:snapToGrid w:val="0"/>
                <w:sz w:val="20"/>
                <w:szCs w:val="20"/>
              </w:rPr>
              <w:t>Liaise with WS6 to provide input to the MEDIN 10 year anniversary Partner’s meeting</w:t>
            </w:r>
          </w:p>
        </w:tc>
        <w:tc>
          <w:tcPr>
            <w:tcW w:w="1227" w:type="dxa"/>
            <w:gridSpan w:val="2"/>
            <w:tcBorders>
              <w:top w:val="nil"/>
              <w:left w:val="nil"/>
              <w:bottom w:val="nil"/>
              <w:right w:val="nil"/>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576" w:type="dxa"/>
            <w:tcBorders>
              <w:top w:val="nil"/>
              <w:left w:val="nil"/>
              <w:bottom w:val="nil"/>
              <w:right w:val="single" w:sz="8" w:space="0" w:color="5B9BD5" w:themeColor="accent1"/>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B920A9" w:rsidTr="000F55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84" w:type="dxa"/>
            <w:tcBorders>
              <w:right w:val="nil"/>
            </w:tcBorders>
            <w:shd w:val="clear" w:color="auto" w:fill="5B9BD5" w:themeFill="accent1"/>
            <w:hideMark/>
          </w:tcPr>
          <w:p w:rsidR="00B920A9" w:rsidRDefault="00B920A9" w:rsidP="000F55DB">
            <w:pPr>
              <w:pStyle w:val="NumPara6"/>
              <w:numPr>
                <w:ilvl w:val="0"/>
                <w:numId w:val="0"/>
              </w:numPr>
              <w:spacing w:before="0" w:after="0"/>
              <w:contextualSpacing/>
              <w:jc w:val="left"/>
              <w:rPr>
                <w:rFonts w:asciiTheme="minorHAnsi" w:hAnsiTheme="minorHAnsi"/>
                <w:color w:val="FFFFFF" w:themeColor="background1"/>
                <w:sz w:val="20"/>
                <w:szCs w:val="20"/>
              </w:rPr>
            </w:pPr>
            <w:r>
              <w:rPr>
                <w:rFonts w:asciiTheme="minorHAnsi" w:hAnsiTheme="minorHAnsi"/>
                <w:color w:val="FFFFFF" w:themeColor="background1"/>
                <w:sz w:val="20"/>
                <w:szCs w:val="20"/>
              </w:rPr>
              <w:t>Q2</w:t>
            </w:r>
          </w:p>
        </w:tc>
        <w:tc>
          <w:tcPr>
            <w:tcW w:w="1227" w:type="dxa"/>
            <w:gridSpan w:val="2"/>
            <w:tcBorders>
              <w:left w:val="nil"/>
              <w:right w:val="nil"/>
            </w:tcBorders>
            <w:shd w:val="clear" w:color="auto" w:fill="5B9BD5" w:themeFill="accent1"/>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szCs w:val="20"/>
              </w:rPr>
            </w:pPr>
          </w:p>
        </w:tc>
        <w:tc>
          <w:tcPr>
            <w:tcW w:w="3582" w:type="dxa"/>
            <w:gridSpan w:val="2"/>
            <w:tcBorders>
              <w:left w:val="nil"/>
            </w:tcBorders>
            <w:shd w:val="clear" w:color="auto" w:fill="5B9BD5" w:themeFill="accent1"/>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szCs w:val="20"/>
              </w:rPr>
            </w:pPr>
          </w:p>
        </w:tc>
      </w:tr>
      <w:tr w:rsidR="00B920A9" w:rsidTr="000F55DB">
        <w:trPr>
          <w:trHeight w:val="113"/>
        </w:trPr>
        <w:tc>
          <w:tcPr>
            <w:cnfStyle w:val="001000000000" w:firstRow="0" w:lastRow="0" w:firstColumn="1" w:lastColumn="0" w:oddVBand="0" w:evenVBand="0" w:oddHBand="0" w:evenHBand="0" w:firstRowFirstColumn="0" w:firstRowLastColumn="0" w:lastRowFirstColumn="0" w:lastRowLastColumn="0"/>
            <w:tcW w:w="3484" w:type="dxa"/>
            <w:tcBorders>
              <w:top w:val="nil"/>
              <w:left w:val="single" w:sz="8" w:space="0" w:color="5B9BD5" w:themeColor="accent1"/>
              <w:bottom w:val="nil"/>
              <w:right w:val="nil"/>
            </w:tcBorders>
            <w:hideMark/>
          </w:tcPr>
          <w:p w:rsidR="00B920A9" w:rsidRDefault="00B920A9" w:rsidP="000F55DB">
            <w:pPr>
              <w:pStyle w:val="NumPara6"/>
              <w:numPr>
                <w:ilvl w:val="0"/>
                <w:numId w:val="0"/>
              </w:numPr>
              <w:spacing w:before="0" w:after="0"/>
              <w:contextualSpacing/>
              <w:jc w:val="left"/>
              <w:rPr>
                <w:rFonts w:asciiTheme="minorHAnsi" w:hAnsiTheme="minorHAnsi"/>
                <w:sz w:val="20"/>
                <w:szCs w:val="20"/>
              </w:rPr>
            </w:pPr>
            <w:r>
              <w:rPr>
                <w:rFonts w:asciiTheme="minorHAnsi" w:hAnsiTheme="minorHAnsi"/>
                <w:bCs/>
                <w:sz w:val="20"/>
                <w:szCs w:val="20"/>
              </w:rPr>
              <w:t xml:space="preserve">Reaccreditation outline plan for 2018 (KT1.3). Complete ADS reaccreditation </w:t>
            </w:r>
          </w:p>
        </w:tc>
        <w:tc>
          <w:tcPr>
            <w:tcW w:w="1227" w:type="dxa"/>
            <w:gridSpan w:val="2"/>
            <w:tcBorders>
              <w:top w:val="nil"/>
              <w:left w:val="nil"/>
              <w:bottom w:val="nil"/>
              <w:right w:val="nil"/>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582" w:type="dxa"/>
            <w:gridSpan w:val="2"/>
            <w:tcBorders>
              <w:top w:val="nil"/>
              <w:left w:val="nil"/>
              <w:bottom w:val="nil"/>
              <w:right w:val="single" w:sz="8" w:space="0" w:color="5B9BD5" w:themeColor="accent1"/>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B920A9" w:rsidTr="000F55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84" w:type="dxa"/>
            <w:tcBorders>
              <w:right w:val="nil"/>
            </w:tcBorders>
            <w:hideMark/>
          </w:tcPr>
          <w:p w:rsidR="00B920A9" w:rsidRDefault="00B920A9" w:rsidP="000F55DB">
            <w:pPr>
              <w:pStyle w:val="NumPara6"/>
              <w:numPr>
                <w:ilvl w:val="0"/>
                <w:numId w:val="0"/>
              </w:numPr>
              <w:spacing w:before="0" w:after="0"/>
              <w:contextualSpacing/>
              <w:jc w:val="left"/>
              <w:rPr>
                <w:rFonts w:asciiTheme="minorHAnsi" w:hAnsiTheme="minorHAnsi"/>
                <w:sz w:val="20"/>
                <w:szCs w:val="20"/>
              </w:rPr>
            </w:pPr>
            <w:r>
              <w:rPr>
                <w:rFonts w:asciiTheme="minorHAnsi" w:hAnsiTheme="minorHAnsi" w:cs="Calibri"/>
                <w:sz w:val="20"/>
                <w:szCs w:val="20"/>
              </w:rPr>
              <w:t xml:space="preserve">Review progress with Northern Ireland FishDAC accreditation </w:t>
            </w:r>
            <w:r>
              <w:rPr>
                <w:rFonts w:asciiTheme="minorHAnsi" w:hAnsiTheme="minorHAnsi"/>
                <w:sz w:val="20"/>
                <w:szCs w:val="20"/>
              </w:rPr>
              <w:t xml:space="preserve">(KT1.3) </w:t>
            </w:r>
          </w:p>
        </w:tc>
        <w:tc>
          <w:tcPr>
            <w:tcW w:w="1227" w:type="dxa"/>
            <w:gridSpan w:val="2"/>
            <w:tcBorders>
              <w:left w:val="nil"/>
              <w:righ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3582" w:type="dxa"/>
            <w:gridSpan w:val="2"/>
            <w:tcBorders>
              <w:lef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B920A9" w:rsidTr="000F55DB">
        <w:trPr>
          <w:trHeight w:val="113"/>
        </w:trPr>
        <w:tc>
          <w:tcPr>
            <w:cnfStyle w:val="001000000000" w:firstRow="0" w:lastRow="0" w:firstColumn="1" w:lastColumn="0" w:oddVBand="0" w:evenVBand="0" w:oddHBand="0" w:evenHBand="0" w:firstRowFirstColumn="0" w:firstRowLastColumn="0" w:lastRowFirstColumn="0" w:lastRowLastColumn="0"/>
            <w:tcW w:w="3484" w:type="dxa"/>
            <w:tcBorders>
              <w:top w:val="nil"/>
              <w:left w:val="single" w:sz="8" w:space="0" w:color="5B9BD5" w:themeColor="accent1"/>
              <w:bottom w:val="nil"/>
              <w:right w:val="nil"/>
            </w:tcBorders>
            <w:hideMark/>
          </w:tcPr>
          <w:p w:rsidR="00B920A9" w:rsidRPr="009E4AD1" w:rsidRDefault="00B920A9" w:rsidP="009E4AD1">
            <w:pPr>
              <w:pStyle w:val="NumPara6"/>
              <w:numPr>
                <w:ilvl w:val="0"/>
                <w:numId w:val="0"/>
              </w:numPr>
              <w:spacing w:before="0" w:after="0"/>
              <w:contextualSpacing/>
              <w:jc w:val="left"/>
              <w:rPr>
                <w:rFonts w:asciiTheme="minorHAnsi" w:hAnsiTheme="minorHAnsi" w:cs="Calibri"/>
                <w:sz w:val="20"/>
                <w:szCs w:val="20"/>
              </w:rPr>
            </w:pPr>
            <w:r w:rsidRPr="009E4AD1">
              <w:rPr>
                <w:rFonts w:asciiTheme="minorHAnsi" w:hAnsiTheme="minorHAnsi" w:cs="Calibri"/>
                <w:sz w:val="20"/>
                <w:szCs w:val="20"/>
              </w:rPr>
              <w:t>Deliver MCZ / MPA data archiving progress report (KT1.1)</w:t>
            </w:r>
          </w:p>
        </w:tc>
        <w:tc>
          <w:tcPr>
            <w:tcW w:w="1227" w:type="dxa"/>
            <w:gridSpan w:val="2"/>
            <w:tcBorders>
              <w:top w:val="nil"/>
              <w:left w:val="nil"/>
              <w:bottom w:val="nil"/>
              <w:right w:val="nil"/>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582" w:type="dxa"/>
            <w:gridSpan w:val="2"/>
            <w:tcBorders>
              <w:top w:val="nil"/>
              <w:left w:val="nil"/>
              <w:bottom w:val="nil"/>
              <w:right w:val="single" w:sz="8" w:space="0" w:color="5B9BD5" w:themeColor="accent1"/>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B920A9" w:rsidTr="000F55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84" w:type="dxa"/>
            <w:tcBorders>
              <w:right w:val="nil"/>
            </w:tcBorders>
            <w:hideMark/>
          </w:tcPr>
          <w:p w:rsidR="00B920A9" w:rsidRDefault="00B920A9" w:rsidP="000F55DB">
            <w:pPr>
              <w:pStyle w:val="NumPara6"/>
              <w:numPr>
                <w:ilvl w:val="0"/>
                <w:numId w:val="0"/>
              </w:numPr>
              <w:spacing w:before="0" w:after="0"/>
              <w:contextualSpacing/>
              <w:jc w:val="left"/>
              <w:rPr>
                <w:rFonts w:asciiTheme="minorHAnsi" w:hAnsiTheme="minorHAnsi"/>
                <w:sz w:val="20"/>
                <w:szCs w:val="20"/>
              </w:rPr>
            </w:pPr>
            <w:r>
              <w:rPr>
                <w:rFonts w:asciiTheme="minorHAnsi" w:hAnsiTheme="minorHAnsi"/>
                <w:sz w:val="20"/>
                <w:szCs w:val="20"/>
              </w:rPr>
              <w:t>Hold a Historic Environment DAC meeting and continue to review progress with expanding the Historic Environment DAC network coverage</w:t>
            </w:r>
          </w:p>
        </w:tc>
        <w:tc>
          <w:tcPr>
            <w:tcW w:w="1227" w:type="dxa"/>
            <w:gridSpan w:val="2"/>
            <w:tcBorders>
              <w:left w:val="nil"/>
              <w:righ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3582" w:type="dxa"/>
            <w:gridSpan w:val="2"/>
            <w:tcBorders>
              <w:lef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B920A9" w:rsidTr="000F55DB">
        <w:trPr>
          <w:trHeight w:val="113"/>
        </w:trPr>
        <w:tc>
          <w:tcPr>
            <w:cnfStyle w:val="001000000000" w:firstRow="0" w:lastRow="0" w:firstColumn="1" w:lastColumn="0" w:oddVBand="0" w:evenVBand="0" w:oddHBand="0" w:evenHBand="0" w:firstRowFirstColumn="0" w:firstRowLastColumn="0" w:lastRowFirstColumn="0" w:lastRowLastColumn="0"/>
            <w:tcW w:w="3484" w:type="dxa"/>
            <w:tcBorders>
              <w:top w:val="nil"/>
              <w:left w:val="single" w:sz="8" w:space="0" w:color="5B9BD5" w:themeColor="accent1"/>
              <w:bottom w:val="nil"/>
              <w:right w:val="nil"/>
            </w:tcBorders>
            <w:hideMark/>
          </w:tcPr>
          <w:p w:rsidR="00B920A9" w:rsidRDefault="00B920A9" w:rsidP="000F55DB">
            <w:pPr>
              <w:pStyle w:val="NumPara6"/>
              <w:numPr>
                <w:ilvl w:val="0"/>
                <w:numId w:val="0"/>
              </w:numPr>
              <w:spacing w:before="0" w:after="0"/>
              <w:contextualSpacing/>
              <w:jc w:val="left"/>
              <w:rPr>
                <w:rFonts w:asciiTheme="minorHAnsi" w:hAnsiTheme="minorHAnsi"/>
                <w:sz w:val="20"/>
                <w:szCs w:val="20"/>
              </w:rPr>
            </w:pPr>
            <w:r>
              <w:rPr>
                <w:rFonts w:asciiTheme="minorHAnsi" w:hAnsiTheme="minorHAnsi"/>
                <w:sz w:val="20"/>
                <w:szCs w:val="20"/>
              </w:rPr>
              <w:t>Implementation of changes to DAC webpages</w:t>
            </w:r>
          </w:p>
        </w:tc>
        <w:tc>
          <w:tcPr>
            <w:tcW w:w="1227" w:type="dxa"/>
            <w:gridSpan w:val="2"/>
            <w:tcBorders>
              <w:top w:val="nil"/>
              <w:left w:val="nil"/>
              <w:bottom w:val="nil"/>
              <w:right w:val="nil"/>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582" w:type="dxa"/>
            <w:gridSpan w:val="2"/>
            <w:tcBorders>
              <w:top w:val="nil"/>
              <w:left w:val="nil"/>
              <w:bottom w:val="nil"/>
              <w:right w:val="single" w:sz="8" w:space="0" w:color="5B9BD5" w:themeColor="accent1"/>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B920A9" w:rsidTr="000F55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84" w:type="dxa"/>
            <w:tcBorders>
              <w:right w:val="nil"/>
            </w:tcBorders>
            <w:shd w:val="clear" w:color="auto" w:fill="5B9BD5" w:themeFill="accent1"/>
            <w:hideMark/>
          </w:tcPr>
          <w:p w:rsidR="00B920A9" w:rsidRDefault="00B920A9" w:rsidP="000F55DB">
            <w:pPr>
              <w:rPr>
                <w:rFonts w:cs="Arial"/>
                <w:b w:val="0"/>
                <w:color w:val="FFFFFF" w:themeColor="background1"/>
                <w:sz w:val="20"/>
                <w:szCs w:val="20"/>
              </w:rPr>
            </w:pPr>
            <w:r>
              <w:rPr>
                <w:rFonts w:cs="Arial"/>
                <w:b w:val="0"/>
                <w:color w:val="FFFFFF" w:themeColor="background1"/>
                <w:sz w:val="20"/>
                <w:szCs w:val="20"/>
              </w:rPr>
              <w:t>Q3</w:t>
            </w:r>
          </w:p>
        </w:tc>
        <w:tc>
          <w:tcPr>
            <w:tcW w:w="1227" w:type="dxa"/>
            <w:gridSpan w:val="2"/>
            <w:tcBorders>
              <w:left w:val="nil"/>
              <w:right w:val="nil"/>
            </w:tcBorders>
            <w:shd w:val="clear" w:color="auto" w:fill="5B9BD5" w:themeFill="accent1"/>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0"/>
                <w:szCs w:val="20"/>
              </w:rPr>
            </w:pPr>
          </w:p>
        </w:tc>
        <w:tc>
          <w:tcPr>
            <w:tcW w:w="3582" w:type="dxa"/>
            <w:gridSpan w:val="2"/>
            <w:tcBorders>
              <w:left w:val="nil"/>
            </w:tcBorders>
            <w:shd w:val="clear" w:color="auto" w:fill="5B9BD5" w:themeFill="accent1"/>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0"/>
                <w:szCs w:val="20"/>
              </w:rPr>
            </w:pPr>
          </w:p>
        </w:tc>
      </w:tr>
      <w:tr w:rsidR="00B920A9" w:rsidTr="000F55DB">
        <w:trPr>
          <w:trHeight w:val="113"/>
        </w:trPr>
        <w:tc>
          <w:tcPr>
            <w:cnfStyle w:val="001000000000" w:firstRow="0" w:lastRow="0" w:firstColumn="1" w:lastColumn="0" w:oddVBand="0" w:evenVBand="0" w:oddHBand="0" w:evenHBand="0" w:firstRowFirstColumn="0" w:firstRowLastColumn="0" w:lastRowFirstColumn="0" w:lastRowLastColumn="0"/>
            <w:tcW w:w="3484" w:type="dxa"/>
            <w:tcBorders>
              <w:top w:val="nil"/>
              <w:left w:val="single" w:sz="8" w:space="0" w:color="5B9BD5" w:themeColor="accent1"/>
              <w:bottom w:val="nil"/>
              <w:right w:val="nil"/>
            </w:tcBorders>
            <w:hideMark/>
          </w:tcPr>
          <w:p w:rsidR="00B920A9" w:rsidRDefault="00B920A9" w:rsidP="000F55DB">
            <w:pPr>
              <w:pStyle w:val="NumPara9"/>
              <w:numPr>
                <w:ilvl w:val="0"/>
                <w:numId w:val="0"/>
              </w:numPr>
              <w:spacing w:before="0" w:after="0"/>
              <w:contextualSpacing/>
              <w:jc w:val="left"/>
              <w:rPr>
                <w:rFonts w:asciiTheme="minorHAnsi" w:hAnsiTheme="minorHAnsi"/>
                <w:sz w:val="20"/>
                <w:szCs w:val="20"/>
              </w:rPr>
            </w:pPr>
            <w:r>
              <w:rPr>
                <w:rFonts w:asciiTheme="minorHAnsi" w:hAnsiTheme="minorHAnsi"/>
                <w:sz w:val="20"/>
                <w:szCs w:val="20"/>
              </w:rPr>
              <w:t>DAC Working Group Meeting</w:t>
            </w:r>
          </w:p>
        </w:tc>
        <w:tc>
          <w:tcPr>
            <w:tcW w:w="1227" w:type="dxa"/>
            <w:gridSpan w:val="2"/>
            <w:tcBorders>
              <w:top w:val="nil"/>
              <w:left w:val="nil"/>
              <w:bottom w:val="nil"/>
              <w:right w:val="nil"/>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582" w:type="dxa"/>
            <w:gridSpan w:val="2"/>
            <w:tcBorders>
              <w:top w:val="nil"/>
              <w:left w:val="nil"/>
              <w:bottom w:val="nil"/>
              <w:right w:val="single" w:sz="8" w:space="0" w:color="5B9BD5" w:themeColor="accent1"/>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B920A9" w:rsidTr="000F55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84" w:type="dxa"/>
            <w:tcBorders>
              <w:right w:val="nil"/>
            </w:tcBorders>
            <w:hideMark/>
          </w:tcPr>
          <w:p w:rsidR="00B920A9" w:rsidRPr="009E4AD1" w:rsidRDefault="00B920A9" w:rsidP="009E4AD1">
            <w:pPr>
              <w:pStyle w:val="NumPara9"/>
              <w:numPr>
                <w:ilvl w:val="0"/>
                <w:numId w:val="0"/>
              </w:numPr>
              <w:spacing w:before="0" w:after="0"/>
              <w:contextualSpacing/>
              <w:jc w:val="left"/>
              <w:rPr>
                <w:rFonts w:asciiTheme="minorHAnsi" w:hAnsiTheme="minorHAnsi"/>
                <w:sz w:val="20"/>
                <w:szCs w:val="20"/>
              </w:rPr>
            </w:pPr>
            <w:r w:rsidRPr="009E4AD1">
              <w:rPr>
                <w:rFonts w:asciiTheme="minorHAnsi" w:hAnsiTheme="minorHAnsi"/>
                <w:sz w:val="20"/>
                <w:szCs w:val="20"/>
              </w:rPr>
              <w:t>Hold 3rd MEDIN “Codefest” / DAC technical workshop and report findings based on options</w:t>
            </w:r>
          </w:p>
        </w:tc>
        <w:tc>
          <w:tcPr>
            <w:tcW w:w="1227" w:type="dxa"/>
            <w:gridSpan w:val="2"/>
            <w:tcBorders>
              <w:left w:val="nil"/>
              <w:righ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3582" w:type="dxa"/>
            <w:gridSpan w:val="2"/>
            <w:tcBorders>
              <w:lef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B920A9" w:rsidTr="000F55DB">
        <w:trPr>
          <w:trHeight w:val="113"/>
        </w:trPr>
        <w:tc>
          <w:tcPr>
            <w:cnfStyle w:val="001000000000" w:firstRow="0" w:lastRow="0" w:firstColumn="1" w:lastColumn="0" w:oddVBand="0" w:evenVBand="0" w:oddHBand="0" w:evenHBand="0" w:firstRowFirstColumn="0" w:firstRowLastColumn="0" w:lastRowFirstColumn="0" w:lastRowLastColumn="0"/>
            <w:tcW w:w="3484" w:type="dxa"/>
            <w:tcBorders>
              <w:top w:val="nil"/>
              <w:left w:val="single" w:sz="8" w:space="0" w:color="5B9BD5" w:themeColor="accent1"/>
              <w:bottom w:val="nil"/>
              <w:right w:val="nil"/>
            </w:tcBorders>
            <w:hideMark/>
          </w:tcPr>
          <w:p w:rsidR="00B920A9" w:rsidRPr="009E4AD1" w:rsidRDefault="00B920A9" w:rsidP="009E4AD1">
            <w:pPr>
              <w:pStyle w:val="NumPara9"/>
              <w:numPr>
                <w:ilvl w:val="0"/>
                <w:numId w:val="0"/>
              </w:numPr>
              <w:spacing w:before="0" w:after="0"/>
              <w:contextualSpacing/>
              <w:jc w:val="left"/>
              <w:rPr>
                <w:rFonts w:asciiTheme="minorHAnsi" w:hAnsiTheme="minorHAnsi"/>
                <w:sz w:val="20"/>
                <w:szCs w:val="20"/>
              </w:rPr>
            </w:pPr>
            <w:r w:rsidRPr="009E4AD1">
              <w:rPr>
                <w:rFonts w:asciiTheme="minorHAnsi" w:hAnsiTheme="minorHAnsi"/>
                <w:sz w:val="20"/>
                <w:szCs w:val="20"/>
              </w:rPr>
              <w:t xml:space="preserve">Identify MSFD datasets to be managed in the DAC network </w:t>
            </w:r>
          </w:p>
        </w:tc>
        <w:tc>
          <w:tcPr>
            <w:tcW w:w="1227" w:type="dxa"/>
            <w:gridSpan w:val="2"/>
            <w:tcBorders>
              <w:top w:val="nil"/>
              <w:left w:val="nil"/>
              <w:bottom w:val="nil"/>
              <w:right w:val="nil"/>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582" w:type="dxa"/>
            <w:gridSpan w:val="2"/>
            <w:tcBorders>
              <w:top w:val="nil"/>
              <w:left w:val="nil"/>
              <w:bottom w:val="nil"/>
              <w:right w:val="single" w:sz="8" w:space="0" w:color="5B9BD5" w:themeColor="accent1"/>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B920A9" w:rsidTr="000F55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84" w:type="dxa"/>
            <w:tcBorders>
              <w:right w:val="nil"/>
            </w:tcBorders>
            <w:hideMark/>
          </w:tcPr>
          <w:p w:rsidR="00B920A9" w:rsidRPr="009E4AD1" w:rsidRDefault="00B920A9" w:rsidP="009E4AD1">
            <w:pPr>
              <w:pStyle w:val="NumPara9"/>
              <w:numPr>
                <w:ilvl w:val="0"/>
                <w:numId w:val="0"/>
              </w:numPr>
              <w:spacing w:before="0" w:after="0"/>
              <w:contextualSpacing/>
              <w:jc w:val="left"/>
              <w:rPr>
                <w:rFonts w:asciiTheme="minorHAnsi" w:hAnsiTheme="minorHAnsi"/>
                <w:sz w:val="20"/>
                <w:szCs w:val="20"/>
              </w:rPr>
            </w:pPr>
            <w:r w:rsidRPr="009E4AD1">
              <w:rPr>
                <w:rFonts w:asciiTheme="minorHAnsi" w:hAnsiTheme="minorHAnsi"/>
                <w:sz w:val="20"/>
                <w:szCs w:val="20"/>
              </w:rPr>
              <w:t>Review progress with validation of portal metadata records.</w:t>
            </w:r>
          </w:p>
        </w:tc>
        <w:tc>
          <w:tcPr>
            <w:tcW w:w="1227" w:type="dxa"/>
            <w:gridSpan w:val="2"/>
            <w:tcBorders>
              <w:left w:val="nil"/>
              <w:righ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3582" w:type="dxa"/>
            <w:gridSpan w:val="2"/>
            <w:tcBorders>
              <w:lef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B920A9" w:rsidTr="000F55DB">
        <w:trPr>
          <w:trHeight w:val="113"/>
        </w:trPr>
        <w:tc>
          <w:tcPr>
            <w:cnfStyle w:val="001000000000" w:firstRow="0" w:lastRow="0" w:firstColumn="1" w:lastColumn="0" w:oddVBand="0" w:evenVBand="0" w:oddHBand="0" w:evenHBand="0" w:firstRowFirstColumn="0" w:firstRowLastColumn="0" w:lastRowFirstColumn="0" w:lastRowLastColumn="0"/>
            <w:tcW w:w="3484" w:type="dxa"/>
            <w:tcBorders>
              <w:top w:val="nil"/>
              <w:left w:val="single" w:sz="8" w:space="0" w:color="5B9BD5" w:themeColor="accent1"/>
              <w:bottom w:val="nil"/>
              <w:right w:val="nil"/>
            </w:tcBorders>
            <w:shd w:val="clear" w:color="auto" w:fill="5B9BD5" w:themeFill="accent1"/>
            <w:hideMark/>
          </w:tcPr>
          <w:p w:rsidR="00B920A9" w:rsidRDefault="00B920A9" w:rsidP="000F55DB">
            <w:pPr>
              <w:pStyle w:val="NumPara9"/>
              <w:numPr>
                <w:ilvl w:val="0"/>
                <w:numId w:val="0"/>
              </w:numPr>
              <w:spacing w:before="0" w:after="0"/>
              <w:contextualSpacing/>
              <w:jc w:val="left"/>
              <w:rPr>
                <w:rFonts w:asciiTheme="minorHAnsi" w:hAnsiTheme="minorHAnsi"/>
                <w:color w:val="FFFFFF" w:themeColor="background1"/>
                <w:sz w:val="20"/>
                <w:szCs w:val="20"/>
              </w:rPr>
            </w:pPr>
            <w:r>
              <w:rPr>
                <w:rFonts w:asciiTheme="minorHAnsi" w:hAnsiTheme="minorHAnsi"/>
                <w:color w:val="FFFFFF" w:themeColor="background1"/>
                <w:sz w:val="20"/>
                <w:szCs w:val="20"/>
              </w:rPr>
              <w:t>Q4</w:t>
            </w:r>
          </w:p>
        </w:tc>
        <w:tc>
          <w:tcPr>
            <w:tcW w:w="1227" w:type="dxa"/>
            <w:gridSpan w:val="2"/>
            <w:tcBorders>
              <w:top w:val="nil"/>
              <w:left w:val="nil"/>
              <w:bottom w:val="nil"/>
              <w:right w:val="nil"/>
            </w:tcBorders>
            <w:shd w:val="clear" w:color="auto" w:fill="5B9BD5" w:themeFill="accent1"/>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p>
        </w:tc>
        <w:tc>
          <w:tcPr>
            <w:tcW w:w="3582" w:type="dxa"/>
            <w:gridSpan w:val="2"/>
            <w:tcBorders>
              <w:top w:val="nil"/>
              <w:left w:val="nil"/>
              <w:bottom w:val="nil"/>
              <w:right w:val="single" w:sz="8" w:space="0" w:color="5B9BD5" w:themeColor="accent1"/>
            </w:tcBorders>
            <w:shd w:val="clear" w:color="auto" w:fill="5B9BD5" w:themeFill="accent1"/>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p>
        </w:tc>
      </w:tr>
      <w:tr w:rsidR="00B920A9" w:rsidTr="000F55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84" w:type="dxa"/>
            <w:tcBorders>
              <w:right w:val="nil"/>
            </w:tcBorders>
            <w:hideMark/>
          </w:tcPr>
          <w:p w:rsidR="00B920A9" w:rsidRPr="009E4AD1" w:rsidRDefault="00B920A9" w:rsidP="009E4AD1">
            <w:pPr>
              <w:pStyle w:val="NumPara9"/>
              <w:numPr>
                <w:ilvl w:val="0"/>
                <w:numId w:val="0"/>
              </w:numPr>
              <w:spacing w:before="0" w:after="0"/>
              <w:contextualSpacing/>
              <w:jc w:val="left"/>
              <w:rPr>
                <w:rFonts w:asciiTheme="minorHAnsi" w:hAnsiTheme="minorHAnsi"/>
                <w:sz w:val="20"/>
                <w:szCs w:val="20"/>
              </w:rPr>
            </w:pPr>
            <w:r w:rsidRPr="009E4AD1">
              <w:rPr>
                <w:rFonts w:asciiTheme="minorHAnsi" w:hAnsiTheme="minorHAnsi"/>
                <w:sz w:val="20"/>
                <w:szCs w:val="20"/>
              </w:rPr>
              <w:t>WS1 report for 2018-19</w:t>
            </w:r>
          </w:p>
        </w:tc>
        <w:tc>
          <w:tcPr>
            <w:tcW w:w="1227" w:type="dxa"/>
            <w:gridSpan w:val="2"/>
            <w:tcBorders>
              <w:left w:val="nil"/>
              <w:righ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3582" w:type="dxa"/>
            <w:gridSpan w:val="2"/>
            <w:tcBorders>
              <w:lef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B920A9" w:rsidTr="000F55DB">
        <w:trPr>
          <w:trHeight w:val="113"/>
        </w:trPr>
        <w:tc>
          <w:tcPr>
            <w:cnfStyle w:val="001000000000" w:firstRow="0" w:lastRow="0" w:firstColumn="1" w:lastColumn="0" w:oddVBand="0" w:evenVBand="0" w:oddHBand="0" w:evenHBand="0" w:firstRowFirstColumn="0" w:firstRowLastColumn="0" w:lastRowFirstColumn="0" w:lastRowLastColumn="0"/>
            <w:tcW w:w="3484" w:type="dxa"/>
            <w:tcBorders>
              <w:top w:val="nil"/>
              <w:left w:val="single" w:sz="8" w:space="0" w:color="5B9BD5" w:themeColor="accent1"/>
              <w:bottom w:val="nil"/>
              <w:right w:val="nil"/>
            </w:tcBorders>
            <w:hideMark/>
          </w:tcPr>
          <w:p w:rsidR="00B920A9" w:rsidRDefault="00B920A9" w:rsidP="009E4AD1">
            <w:pPr>
              <w:pStyle w:val="NumPara9"/>
              <w:numPr>
                <w:ilvl w:val="0"/>
                <w:numId w:val="0"/>
              </w:numPr>
              <w:spacing w:before="0" w:after="0"/>
              <w:contextualSpacing/>
              <w:jc w:val="left"/>
              <w:rPr>
                <w:rFonts w:asciiTheme="minorHAnsi" w:hAnsiTheme="minorHAnsi"/>
                <w:sz w:val="20"/>
                <w:szCs w:val="20"/>
              </w:rPr>
            </w:pPr>
            <w:r>
              <w:rPr>
                <w:rFonts w:asciiTheme="minorHAnsi" w:hAnsiTheme="minorHAnsi"/>
                <w:sz w:val="20"/>
                <w:szCs w:val="20"/>
              </w:rPr>
              <w:t>DAC work plan for 2019-24</w:t>
            </w:r>
          </w:p>
        </w:tc>
        <w:tc>
          <w:tcPr>
            <w:tcW w:w="1227" w:type="dxa"/>
            <w:gridSpan w:val="2"/>
            <w:tcBorders>
              <w:top w:val="nil"/>
              <w:left w:val="nil"/>
              <w:bottom w:val="nil"/>
              <w:right w:val="nil"/>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582" w:type="dxa"/>
            <w:gridSpan w:val="2"/>
            <w:tcBorders>
              <w:top w:val="nil"/>
              <w:left w:val="nil"/>
              <w:bottom w:val="nil"/>
              <w:right w:val="single" w:sz="8" w:space="0" w:color="5B9BD5" w:themeColor="accent1"/>
            </w:tcBorders>
          </w:tcPr>
          <w:p w:rsidR="00B920A9" w:rsidRDefault="00B920A9" w:rsidP="000F55DB">
            <w:pPr>
              <w:pStyle w:val="NumPara6"/>
              <w:numPr>
                <w:ilvl w:val="0"/>
                <w:numId w:val="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B920A9" w:rsidTr="000F55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84" w:type="dxa"/>
            <w:tcBorders>
              <w:right w:val="nil"/>
            </w:tcBorders>
          </w:tcPr>
          <w:p w:rsidR="00B920A9" w:rsidRDefault="00B920A9" w:rsidP="000F55DB">
            <w:pPr>
              <w:pStyle w:val="NumPara6"/>
              <w:numPr>
                <w:ilvl w:val="0"/>
                <w:numId w:val="0"/>
              </w:numPr>
              <w:spacing w:before="0" w:after="0"/>
              <w:contextualSpacing/>
              <w:jc w:val="left"/>
              <w:rPr>
                <w:rFonts w:asciiTheme="minorHAnsi" w:hAnsiTheme="minorHAnsi"/>
                <w:sz w:val="20"/>
                <w:szCs w:val="20"/>
              </w:rPr>
            </w:pPr>
          </w:p>
        </w:tc>
        <w:tc>
          <w:tcPr>
            <w:tcW w:w="1227" w:type="dxa"/>
            <w:gridSpan w:val="2"/>
            <w:tcBorders>
              <w:left w:val="nil"/>
              <w:righ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3582" w:type="dxa"/>
            <w:gridSpan w:val="2"/>
            <w:tcBorders>
              <w:left w:val="nil"/>
            </w:tcBorders>
          </w:tcPr>
          <w:p w:rsidR="00B920A9" w:rsidRDefault="00B920A9" w:rsidP="000F55DB">
            <w:pPr>
              <w:pStyle w:val="NumPara6"/>
              <w:numPr>
                <w:ilvl w:val="0"/>
                <w:numId w:val="0"/>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bl>
    <w:p w:rsidR="00B920A9" w:rsidRDefault="00B920A9"/>
    <w:sectPr w:rsidR="00B920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0A9" w:rsidRDefault="00B920A9" w:rsidP="00B920A9">
      <w:r>
        <w:separator/>
      </w:r>
    </w:p>
  </w:endnote>
  <w:endnote w:type="continuationSeparator" w:id="0">
    <w:p w:rsidR="00B920A9" w:rsidRDefault="00B920A9" w:rsidP="00B9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0A9" w:rsidRDefault="00B920A9" w:rsidP="00B920A9">
      <w:r>
        <w:separator/>
      </w:r>
    </w:p>
  </w:footnote>
  <w:footnote w:type="continuationSeparator" w:id="0">
    <w:p w:rsidR="00B920A9" w:rsidRDefault="00B920A9" w:rsidP="00B920A9">
      <w:r>
        <w:continuationSeparator/>
      </w:r>
    </w:p>
  </w:footnote>
  <w:footnote w:id="1">
    <w:p w:rsidR="00B920A9" w:rsidRDefault="00B920A9" w:rsidP="00B920A9">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CefMAT – Cefas Marine Assessment Toolhttp://emeco.azurewebsites.net/</w:t>
      </w:r>
    </w:p>
  </w:footnote>
  <w:footnote w:id="2">
    <w:p w:rsidR="00B920A9" w:rsidRDefault="00B920A9" w:rsidP="00B920A9">
      <w:pPr>
        <w:pStyle w:val="FootnoteText"/>
        <w:rPr>
          <w:rFonts w:asciiTheme="minorHAnsi" w:hAnsiTheme="minorHAnsi"/>
        </w:rPr>
      </w:pPr>
      <w:r>
        <w:rPr>
          <w:rStyle w:val="FootnoteReference"/>
        </w:rPr>
        <w:footnoteRef/>
      </w:r>
      <w:r>
        <w:t xml:space="preserve"> </w:t>
      </w:r>
      <w:r>
        <w:rPr>
          <w:rFonts w:asciiTheme="minorHAnsi" w:hAnsiTheme="minorHAnsi"/>
        </w:rPr>
        <w:t>EMODNET - European Marine Observation and Data Network</w:t>
      </w:r>
    </w:p>
  </w:footnote>
  <w:footnote w:id="3">
    <w:p w:rsidR="00B920A9" w:rsidRPr="000F55DB" w:rsidRDefault="00B920A9" w:rsidP="00B920A9">
      <w:pPr>
        <w:pStyle w:val="FootnoteText"/>
        <w:rPr>
          <w:i/>
        </w:rPr>
      </w:pPr>
      <w:r w:rsidRPr="000F55DB">
        <w:rPr>
          <w:rStyle w:val="FootnoteReference"/>
          <w:i/>
          <w:color w:val="FF0000"/>
        </w:rPr>
        <w:t>*</w:t>
      </w:r>
      <w:r w:rsidRPr="000F55DB">
        <w:rPr>
          <w:i/>
          <w:color w:val="FF0000"/>
        </w:rPr>
        <w:t xml:space="preserve"> Tasks at risk from uncertain funding</w:t>
      </w:r>
    </w:p>
  </w:footnote>
  <w:footnote w:id="4">
    <w:p w:rsidR="00B920A9" w:rsidRDefault="00B920A9" w:rsidP="00B920A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E4563"/>
    <w:multiLevelType w:val="multilevel"/>
    <w:tmpl w:val="597657A0"/>
    <w:lvl w:ilvl="0">
      <w:start w:val="1"/>
      <w:numFmt w:val="decimal"/>
      <w:pStyle w:val="Heading1"/>
      <w:lvlText w:val="%1"/>
      <w:lvlJc w:val="left"/>
      <w:pPr>
        <w:tabs>
          <w:tab w:val="num" w:pos="0"/>
        </w:tabs>
        <w:ind w:left="432" w:hanging="432"/>
      </w:pPr>
      <w:rPr>
        <w:rFonts w:hint="default"/>
      </w:rPr>
    </w:lvl>
    <w:lvl w:ilvl="1">
      <w:start w:val="1"/>
      <w:numFmt w:val="decimal"/>
      <w:pStyle w:val="Heading2"/>
      <w:lvlText w:val="%1.%2"/>
      <w:lvlJc w:val="left"/>
      <w:pPr>
        <w:tabs>
          <w:tab w:val="num" w:pos="0"/>
        </w:tabs>
        <w:ind w:left="576" w:hanging="576"/>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567"/>
        </w:tabs>
        <w:ind w:left="1287" w:hanging="720"/>
      </w:pPr>
      <w:rPr>
        <w:rFonts w:hint="default"/>
      </w:rPr>
    </w:lvl>
    <w:lvl w:ilvl="3">
      <w:start w:val="1"/>
      <w:numFmt w:val="decimal"/>
      <w:pStyle w:val="Heading4"/>
      <w:lvlText w:val="%1.%2.%3.%4"/>
      <w:lvlJc w:val="left"/>
      <w:pPr>
        <w:tabs>
          <w:tab w:val="num" w:pos="0"/>
        </w:tabs>
        <w:ind w:left="864" w:hanging="864"/>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 w15:restartNumberingAfterBreak="0">
    <w:nsid w:val="209E152F"/>
    <w:multiLevelType w:val="hybridMultilevel"/>
    <w:tmpl w:val="AC14E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C2763"/>
    <w:multiLevelType w:val="hybridMultilevel"/>
    <w:tmpl w:val="BCD2594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6220F95"/>
    <w:multiLevelType w:val="hybridMultilevel"/>
    <w:tmpl w:val="ECA61CB4"/>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3430425C"/>
    <w:multiLevelType w:val="hybridMultilevel"/>
    <w:tmpl w:val="E540506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39262977"/>
    <w:multiLevelType w:val="hybridMultilevel"/>
    <w:tmpl w:val="F5161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73082"/>
    <w:multiLevelType w:val="hybridMultilevel"/>
    <w:tmpl w:val="99DCFB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64E0E17"/>
    <w:multiLevelType w:val="hybridMultilevel"/>
    <w:tmpl w:val="99D8736C"/>
    <w:lvl w:ilvl="0" w:tplc="FB50F9B8">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8BC5146"/>
    <w:multiLevelType w:val="hybridMultilevel"/>
    <w:tmpl w:val="48647F7A"/>
    <w:lvl w:ilvl="0" w:tplc="08090001">
      <w:start w:val="1"/>
      <w:numFmt w:val="bullet"/>
      <w:lvlText w:val=""/>
      <w:lvlJc w:val="left"/>
      <w:pPr>
        <w:ind w:left="689" w:hanging="360"/>
      </w:pPr>
      <w:rPr>
        <w:rFonts w:ascii="Symbol" w:hAnsi="Symbol" w:hint="default"/>
      </w:rPr>
    </w:lvl>
    <w:lvl w:ilvl="1" w:tplc="08090019">
      <w:start w:val="1"/>
      <w:numFmt w:val="lowerLetter"/>
      <w:lvlText w:val="%2."/>
      <w:lvlJc w:val="left"/>
      <w:pPr>
        <w:ind w:left="1409" w:hanging="360"/>
      </w:pPr>
    </w:lvl>
    <w:lvl w:ilvl="2" w:tplc="0809001B">
      <w:start w:val="1"/>
      <w:numFmt w:val="lowerRoman"/>
      <w:lvlText w:val="%3."/>
      <w:lvlJc w:val="right"/>
      <w:pPr>
        <w:ind w:left="2129" w:hanging="180"/>
      </w:pPr>
    </w:lvl>
    <w:lvl w:ilvl="3" w:tplc="0809000F">
      <w:start w:val="1"/>
      <w:numFmt w:val="decimal"/>
      <w:lvlText w:val="%4."/>
      <w:lvlJc w:val="left"/>
      <w:pPr>
        <w:ind w:left="2849" w:hanging="360"/>
      </w:pPr>
    </w:lvl>
    <w:lvl w:ilvl="4" w:tplc="08090019">
      <w:start w:val="1"/>
      <w:numFmt w:val="lowerLetter"/>
      <w:lvlText w:val="%5."/>
      <w:lvlJc w:val="left"/>
      <w:pPr>
        <w:ind w:left="3569" w:hanging="360"/>
      </w:pPr>
    </w:lvl>
    <w:lvl w:ilvl="5" w:tplc="0809001B">
      <w:start w:val="1"/>
      <w:numFmt w:val="lowerRoman"/>
      <w:lvlText w:val="%6."/>
      <w:lvlJc w:val="right"/>
      <w:pPr>
        <w:ind w:left="4289" w:hanging="180"/>
      </w:pPr>
    </w:lvl>
    <w:lvl w:ilvl="6" w:tplc="0809000F">
      <w:start w:val="1"/>
      <w:numFmt w:val="decimal"/>
      <w:lvlText w:val="%7."/>
      <w:lvlJc w:val="left"/>
      <w:pPr>
        <w:ind w:left="5009" w:hanging="360"/>
      </w:pPr>
    </w:lvl>
    <w:lvl w:ilvl="7" w:tplc="08090019">
      <w:start w:val="1"/>
      <w:numFmt w:val="lowerLetter"/>
      <w:lvlText w:val="%8."/>
      <w:lvlJc w:val="left"/>
      <w:pPr>
        <w:ind w:left="5729" w:hanging="360"/>
      </w:pPr>
    </w:lvl>
    <w:lvl w:ilvl="8" w:tplc="0809001B">
      <w:start w:val="1"/>
      <w:numFmt w:val="lowerRoman"/>
      <w:lvlText w:val="%9."/>
      <w:lvlJc w:val="right"/>
      <w:pPr>
        <w:ind w:left="6449" w:hanging="180"/>
      </w:pPr>
    </w:lvl>
  </w:abstractNum>
  <w:abstractNum w:abstractNumId="9" w15:restartNumberingAfterBreak="0">
    <w:nsid w:val="6A273403"/>
    <w:multiLevelType w:val="multilevel"/>
    <w:tmpl w:val="1BBE8A10"/>
    <w:lvl w:ilvl="0">
      <w:start w:val="1"/>
      <w:numFmt w:val="decimal"/>
      <w:lvlText w:val="%1."/>
      <w:lvlJc w:val="left"/>
      <w:pPr>
        <w:tabs>
          <w:tab w:val="num" w:pos="360"/>
        </w:tabs>
        <w:ind w:left="0" w:firstLine="0"/>
      </w:pPr>
      <w:rPr>
        <w:rFonts w:ascii="Times New Roman" w:hAnsi="Times New Roman" w:hint="default"/>
        <w:b/>
        <w:i w:val="0"/>
        <w:sz w:val="28"/>
      </w:rPr>
    </w:lvl>
    <w:lvl w:ilvl="1">
      <w:start w:val="1"/>
      <w:numFmt w:val="decimal"/>
      <w:lvlRestart w:val="0"/>
      <w:pStyle w:val="NumPara6"/>
      <w:lvlText w:val="6.%2"/>
      <w:lvlJc w:val="left"/>
      <w:pPr>
        <w:tabs>
          <w:tab w:val="num" w:pos="360"/>
        </w:tabs>
        <w:ind w:left="0" w:firstLine="0"/>
      </w:pPr>
      <w:rPr>
        <w:rFonts w:ascii="Arial" w:hAnsi="Arial" w:hint="default"/>
        <w:b w:val="0"/>
        <w:i w:val="0"/>
        <w:color w:val="000000"/>
        <w:sz w:val="22"/>
        <w:szCs w:val="22"/>
      </w:rPr>
    </w:lvl>
    <w:lvl w:ilvl="2">
      <w:start w:val="1"/>
      <w:numFmt w:val="bullet"/>
      <w:lvlText w:val=""/>
      <w:lvlJc w:val="left"/>
      <w:pPr>
        <w:tabs>
          <w:tab w:val="num" w:pos="1134"/>
        </w:tabs>
        <w:ind w:left="1134" w:hanging="851"/>
      </w:pPr>
      <w:rPr>
        <w:rFonts w:ascii="Symbol" w:hAnsi="Symbol" w:hint="default"/>
        <w:b w:val="0"/>
        <w:i w:val="0"/>
        <w:color w:val="auto"/>
        <w:sz w:val="24"/>
      </w:rPr>
    </w:lvl>
    <w:lvl w:ilvl="3">
      <w:start w:val="1"/>
      <w:numFmt w:val="bullet"/>
      <w:lvlText w:val=""/>
      <w:lvlJc w:val="left"/>
      <w:pPr>
        <w:tabs>
          <w:tab w:val="num" w:pos="1417"/>
        </w:tabs>
        <w:ind w:left="1417" w:hanging="680"/>
      </w:pPr>
      <w:rPr>
        <w:rFonts w:ascii="Symbol" w:hAnsi="Symbol" w:hint="default"/>
        <w:color w:val="auto"/>
      </w:rPr>
    </w:lvl>
    <w:lvl w:ilvl="4">
      <w:start w:val="1"/>
      <w:numFmt w:val="decimal"/>
      <w:lvlText w:val="%1.%2.%3.%4.%5."/>
      <w:lvlJc w:val="left"/>
      <w:pPr>
        <w:tabs>
          <w:tab w:val="num" w:pos="2160"/>
        </w:tabs>
        <w:ind w:left="1872" w:hanging="792"/>
      </w:pPr>
      <w:rPr>
        <w:rFonts w:hint="default"/>
      </w:rPr>
    </w:lvl>
    <w:lvl w:ilvl="5">
      <w:start w:val="1"/>
      <w:numFmt w:val="decimal"/>
      <w:lvlText w:val="%5%2%1..%3.%4..%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0" w15:restartNumberingAfterBreak="0">
    <w:nsid w:val="6F6E0EF0"/>
    <w:multiLevelType w:val="hybridMultilevel"/>
    <w:tmpl w:val="969E97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7427DE3"/>
    <w:multiLevelType w:val="multilevel"/>
    <w:tmpl w:val="D5303976"/>
    <w:lvl w:ilvl="0">
      <w:start w:val="1"/>
      <w:numFmt w:val="decimal"/>
      <w:lvlText w:val="%1"/>
      <w:lvlJc w:val="left"/>
      <w:pPr>
        <w:tabs>
          <w:tab w:val="num" w:pos="1077"/>
        </w:tabs>
        <w:ind w:left="1077" w:hanging="360"/>
      </w:pPr>
      <w:rPr>
        <w:rFonts w:hint="default"/>
      </w:rPr>
    </w:lvl>
    <w:lvl w:ilvl="1">
      <w:start w:val="1"/>
      <w:numFmt w:val="decimal"/>
      <w:pStyle w:val="NumPara9"/>
      <w:lvlText w:val="9.%2"/>
      <w:lvlJc w:val="left"/>
      <w:pPr>
        <w:tabs>
          <w:tab w:val="num" w:pos="1077"/>
        </w:tabs>
        <w:ind w:left="0" w:firstLine="0"/>
      </w:pPr>
      <w:rPr>
        <w:rFonts w:hint="default"/>
        <w:color w:val="000000"/>
      </w:rPr>
    </w:lvl>
    <w:lvl w:ilvl="2">
      <w:start w:val="1"/>
      <w:numFmt w:val="decimal"/>
      <w:lvlText w:val="%1.%3."/>
      <w:lvlJc w:val="left"/>
      <w:pPr>
        <w:tabs>
          <w:tab w:val="num" w:pos="1437"/>
        </w:tabs>
        <w:ind w:left="1221" w:hanging="504"/>
      </w:pPr>
      <w:rPr>
        <w:rFonts w:hint="default"/>
      </w:rPr>
    </w:lvl>
    <w:lvl w:ilvl="3">
      <w:start w:val="1"/>
      <w:numFmt w:val="decimal"/>
      <w:lvlText w:val="%1.%2.%3.%4."/>
      <w:lvlJc w:val="left"/>
      <w:pPr>
        <w:tabs>
          <w:tab w:val="num" w:pos="2157"/>
        </w:tabs>
        <w:ind w:left="1725" w:hanging="648"/>
      </w:pPr>
      <w:rPr>
        <w:rFonts w:hint="default"/>
      </w:rPr>
    </w:lvl>
    <w:lvl w:ilvl="4">
      <w:start w:val="1"/>
      <w:numFmt w:val="decimal"/>
      <w:lvlText w:val="%1.%2.%3.%4.%5."/>
      <w:lvlJc w:val="left"/>
      <w:pPr>
        <w:tabs>
          <w:tab w:val="num" w:pos="2877"/>
        </w:tabs>
        <w:ind w:left="2229" w:hanging="792"/>
      </w:pPr>
      <w:rPr>
        <w:rFonts w:hint="default"/>
      </w:rPr>
    </w:lvl>
    <w:lvl w:ilvl="5">
      <w:start w:val="1"/>
      <w:numFmt w:val="decimal"/>
      <w:lvlText w:val="%1.%2.%3.%4.%5.%6."/>
      <w:lvlJc w:val="left"/>
      <w:pPr>
        <w:tabs>
          <w:tab w:val="num" w:pos="3237"/>
        </w:tabs>
        <w:ind w:left="2733" w:hanging="936"/>
      </w:pPr>
      <w:rPr>
        <w:rFonts w:hint="default"/>
      </w:rPr>
    </w:lvl>
    <w:lvl w:ilvl="6">
      <w:start w:val="1"/>
      <w:numFmt w:val="decimal"/>
      <w:lvlText w:val="%1.%2.%3.%4.%5.%6.%7."/>
      <w:lvlJc w:val="left"/>
      <w:pPr>
        <w:tabs>
          <w:tab w:val="num" w:pos="3957"/>
        </w:tabs>
        <w:ind w:left="3237" w:hanging="1080"/>
      </w:pPr>
      <w:rPr>
        <w:rFonts w:hint="default"/>
      </w:rPr>
    </w:lvl>
    <w:lvl w:ilvl="7">
      <w:start w:val="1"/>
      <w:numFmt w:val="decimal"/>
      <w:lvlText w:val="%1.%2.%3.%4.%5.%6.%7.%8."/>
      <w:lvlJc w:val="left"/>
      <w:pPr>
        <w:tabs>
          <w:tab w:val="num" w:pos="467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12" w15:restartNumberingAfterBreak="0">
    <w:nsid w:val="7AEE5881"/>
    <w:multiLevelType w:val="hybridMultilevel"/>
    <w:tmpl w:val="1F2A0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0"/>
  </w:num>
  <w:num w:numId="4">
    <w:abstractNumId w:val="4"/>
  </w:num>
  <w:num w:numId="5">
    <w:abstractNumId w:val="6"/>
  </w:num>
  <w:num w:numId="6">
    <w:abstractNumId w:val="1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5"/>
  </w:num>
  <w:num w:numId="14">
    <w:abstractNumId w:val="9"/>
  </w:num>
  <w:num w:numId="15">
    <w:abstractNumId w:val="1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A9"/>
    <w:rsid w:val="0038222B"/>
    <w:rsid w:val="009E4AD1"/>
    <w:rsid w:val="00B920A9"/>
    <w:rsid w:val="00BB43FE"/>
    <w:rsid w:val="00E66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BBC03-3F50-4976-A6FB-140402AB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0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920A9"/>
    <w:pPr>
      <w:keepNext/>
      <w:numPr>
        <w:numId w:val="3"/>
      </w:numPr>
      <w:spacing w:before="240" w:after="60"/>
      <w:outlineLvl w:val="0"/>
    </w:pPr>
    <w:rPr>
      <w:rFonts w:ascii="Arial" w:hAnsi="Arial" w:cs="Arial"/>
      <w:b/>
      <w:bCs/>
      <w:kern w:val="32"/>
      <w:sz w:val="32"/>
      <w:szCs w:val="32"/>
    </w:rPr>
  </w:style>
  <w:style w:type="paragraph" w:styleId="Heading2">
    <w:name w:val="heading 2"/>
    <w:aliases w:val=" Char2 Char,Char2 Char"/>
    <w:basedOn w:val="Normal"/>
    <w:next w:val="Normal"/>
    <w:link w:val="Heading2Char"/>
    <w:qFormat/>
    <w:rsid w:val="00B920A9"/>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920A9"/>
    <w:pPr>
      <w:keepNext/>
      <w:numPr>
        <w:ilvl w:val="2"/>
        <w:numId w:val="3"/>
      </w:numPr>
      <w:tabs>
        <w:tab w:val="clear" w:pos="567"/>
        <w:tab w:val="num" w:pos="0"/>
      </w:tabs>
      <w:spacing w:before="240" w:after="60"/>
      <w:ind w:left="720"/>
      <w:outlineLvl w:val="2"/>
    </w:pPr>
    <w:rPr>
      <w:rFonts w:ascii="Arial" w:hAnsi="Arial" w:cs="Arial"/>
      <w:b/>
      <w:bCs/>
      <w:sz w:val="26"/>
      <w:szCs w:val="26"/>
    </w:rPr>
  </w:style>
  <w:style w:type="paragraph" w:styleId="Heading4">
    <w:name w:val="heading 4"/>
    <w:basedOn w:val="Normal"/>
    <w:next w:val="Normal"/>
    <w:link w:val="Heading4Char"/>
    <w:qFormat/>
    <w:rsid w:val="00B920A9"/>
    <w:pPr>
      <w:keepNext/>
      <w:numPr>
        <w:ilvl w:val="3"/>
        <w:numId w:val="3"/>
      </w:numPr>
      <w:jc w:val="both"/>
      <w:outlineLvl w:val="3"/>
    </w:pPr>
    <w:rPr>
      <w:rFonts w:ascii="Arial" w:hAnsi="Arial"/>
      <w:i/>
    </w:rPr>
  </w:style>
  <w:style w:type="paragraph" w:styleId="Heading5">
    <w:name w:val="heading 5"/>
    <w:basedOn w:val="Normal"/>
    <w:next w:val="Normal"/>
    <w:link w:val="Heading5Char"/>
    <w:qFormat/>
    <w:rsid w:val="00B920A9"/>
    <w:pPr>
      <w:keepNext/>
      <w:numPr>
        <w:ilvl w:val="4"/>
        <w:numId w:val="3"/>
      </w:numPr>
      <w:jc w:val="both"/>
      <w:outlineLvl w:val="4"/>
    </w:pPr>
    <w:rPr>
      <w:rFonts w:ascii="Arial" w:hAnsi="Arial"/>
      <w:b/>
    </w:rPr>
  </w:style>
  <w:style w:type="paragraph" w:styleId="Heading6">
    <w:name w:val="heading 6"/>
    <w:basedOn w:val="Normal"/>
    <w:next w:val="Normal"/>
    <w:link w:val="Heading6Char"/>
    <w:qFormat/>
    <w:rsid w:val="00B920A9"/>
    <w:pPr>
      <w:keepNext/>
      <w:numPr>
        <w:ilvl w:val="5"/>
        <w:numId w:val="3"/>
      </w:numPr>
      <w:jc w:val="center"/>
      <w:outlineLvl w:val="5"/>
    </w:pPr>
    <w:rPr>
      <w:rFonts w:ascii="Arial" w:hAnsi="Arial"/>
      <w:b/>
      <w:sz w:val="20"/>
    </w:rPr>
  </w:style>
  <w:style w:type="paragraph" w:styleId="Heading7">
    <w:name w:val="heading 7"/>
    <w:basedOn w:val="Normal"/>
    <w:next w:val="Normal"/>
    <w:link w:val="Heading7Char"/>
    <w:qFormat/>
    <w:rsid w:val="00B920A9"/>
    <w:pPr>
      <w:keepNext/>
      <w:widowControl w:val="0"/>
      <w:numPr>
        <w:ilvl w:val="6"/>
        <w:numId w:val="3"/>
      </w:numPr>
      <w:autoSpaceDE w:val="0"/>
      <w:autoSpaceDN w:val="0"/>
      <w:adjustRightInd w:val="0"/>
      <w:outlineLvl w:val="6"/>
    </w:pPr>
    <w:rPr>
      <w:rFonts w:ascii="Arial"/>
      <w:b/>
      <w:color w:val="FFFFFF"/>
    </w:rPr>
  </w:style>
  <w:style w:type="paragraph" w:styleId="Heading8">
    <w:name w:val="heading 8"/>
    <w:basedOn w:val="Normal"/>
    <w:next w:val="Normal"/>
    <w:link w:val="Heading8Char"/>
    <w:qFormat/>
    <w:rsid w:val="00B920A9"/>
    <w:pPr>
      <w:keepNext/>
      <w:widowControl w:val="0"/>
      <w:numPr>
        <w:ilvl w:val="7"/>
        <w:numId w:val="3"/>
      </w:numPr>
      <w:autoSpaceDE w:val="0"/>
      <w:autoSpaceDN w:val="0"/>
      <w:adjustRightInd w:val="0"/>
      <w:outlineLvl w:val="7"/>
    </w:pPr>
    <w:rPr>
      <w:rFonts w:ascii="Arial"/>
      <w:b/>
      <w:color w:val="000000"/>
      <w:sz w:val="20"/>
    </w:rPr>
  </w:style>
  <w:style w:type="paragraph" w:styleId="Heading9">
    <w:name w:val="heading 9"/>
    <w:basedOn w:val="Normal"/>
    <w:next w:val="Normal"/>
    <w:link w:val="Heading9Char"/>
    <w:qFormat/>
    <w:rsid w:val="00B920A9"/>
    <w:pPr>
      <w:keepNext/>
      <w:widowControl w:val="0"/>
      <w:numPr>
        <w:ilvl w:val="8"/>
        <w:numId w:val="3"/>
      </w:numPr>
      <w:autoSpaceDE w:val="0"/>
      <w:autoSpaceDN w:val="0"/>
      <w:adjustRightInd w:val="0"/>
      <w:outlineLvl w:val="8"/>
    </w:pPr>
    <w:rPr>
      <w:rFonts w:ascii="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0A9"/>
    <w:rPr>
      <w:rFonts w:ascii="Arial" w:eastAsia="Times New Roman" w:hAnsi="Arial" w:cs="Arial"/>
      <w:b/>
      <w:bCs/>
      <w:kern w:val="32"/>
      <w:sz w:val="32"/>
      <w:szCs w:val="32"/>
    </w:rPr>
  </w:style>
  <w:style w:type="character" w:customStyle="1" w:styleId="Heading2Char">
    <w:name w:val="Heading 2 Char"/>
    <w:aliases w:val=" Char2 Char Char,Char2 Char Char"/>
    <w:basedOn w:val="DefaultParagraphFont"/>
    <w:link w:val="Heading2"/>
    <w:rsid w:val="00B920A9"/>
    <w:rPr>
      <w:rFonts w:ascii="Arial" w:eastAsia="Times New Roman" w:hAnsi="Arial" w:cs="Arial"/>
      <w:b/>
      <w:bCs/>
      <w:i/>
      <w:iCs/>
      <w:sz w:val="28"/>
      <w:szCs w:val="28"/>
    </w:rPr>
  </w:style>
  <w:style w:type="character" w:customStyle="1" w:styleId="Heading3Char">
    <w:name w:val="Heading 3 Char"/>
    <w:basedOn w:val="DefaultParagraphFont"/>
    <w:link w:val="Heading3"/>
    <w:rsid w:val="00B920A9"/>
    <w:rPr>
      <w:rFonts w:ascii="Arial" w:eastAsia="Times New Roman" w:hAnsi="Arial" w:cs="Arial"/>
      <w:b/>
      <w:bCs/>
      <w:sz w:val="26"/>
      <w:szCs w:val="26"/>
    </w:rPr>
  </w:style>
  <w:style w:type="character" w:customStyle="1" w:styleId="Heading4Char">
    <w:name w:val="Heading 4 Char"/>
    <w:basedOn w:val="DefaultParagraphFont"/>
    <w:link w:val="Heading4"/>
    <w:rsid w:val="00B920A9"/>
    <w:rPr>
      <w:rFonts w:ascii="Arial" w:eastAsia="Times New Roman" w:hAnsi="Arial" w:cs="Times New Roman"/>
      <w:i/>
      <w:sz w:val="24"/>
      <w:szCs w:val="24"/>
    </w:rPr>
  </w:style>
  <w:style w:type="character" w:customStyle="1" w:styleId="Heading5Char">
    <w:name w:val="Heading 5 Char"/>
    <w:basedOn w:val="DefaultParagraphFont"/>
    <w:link w:val="Heading5"/>
    <w:rsid w:val="00B920A9"/>
    <w:rPr>
      <w:rFonts w:ascii="Arial" w:eastAsia="Times New Roman" w:hAnsi="Arial" w:cs="Times New Roman"/>
      <w:b/>
      <w:sz w:val="24"/>
      <w:szCs w:val="24"/>
    </w:rPr>
  </w:style>
  <w:style w:type="character" w:customStyle="1" w:styleId="Heading6Char">
    <w:name w:val="Heading 6 Char"/>
    <w:basedOn w:val="DefaultParagraphFont"/>
    <w:link w:val="Heading6"/>
    <w:rsid w:val="00B920A9"/>
    <w:rPr>
      <w:rFonts w:ascii="Arial" w:eastAsia="Times New Roman" w:hAnsi="Arial" w:cs="Times New Roman"/>
      <w:b/>
      <w:sz w:val="20"/>
      <w:szCs w:val="24"/>
    </w:rPr>
  </w:style>
  <w:style w:type="character" w:customStyle="1" w:styleId="Heading7Char">
    <w:name w:val="Heading 7 Char"/>
    <w:basedOn w:val="DefaultParagraphFont"/>
    <w:link w:val="Heading7"/>
    <w:rsid w:val="00B920A9"/>
    <w:rPr>
      <w:rFonts w:ascii="Arial" w:eastAsia="Times New Roman" w:hAnsi="Times New Roman" w:cs="Times New Roman"/>
      <w:b/>
      <w:color w:val="FFFFFF"/>
      <w:sz w:val="24"/>
      <w:szCs w:val="24"/>
    </w:rPr>
  </w:style>
  <w:style w:type="character" w:customStyle="1" w:styleId="Heading8Char">
    <w:name w:val="Heading 8 Char"/>
    <w:basedOn w:val="DefaultParagraphFont"/>
    <w:link w:val="Heading8"/>
    <w:rsid w:val="00B920A9"/>
    <w:rPr>
      <w:rFonts w:ascii="Arial" w:eastAsia="Times New Roman" w:hAnsi="Times New Roman" w:cs="Times New Roman"/>
      <w:b/>
      <w:color w:val="000000"/>
      <w:sz w:val="20"/>
      <w:szCs w:val="24"/>
    </w:rPr>
  </w:style>
  <w:style w:type="character" w:customStyle="1" w:styleId="Heading9Char">
    <w:name w:val="Heading 9 Char"/>
    <w:basedOn w:val="DefaultParagraphFont"/>
    <w:link w:val="Heading9"/>
    <w:rsid w:val="00B920A9"/>
    <w:rPr>
      <w:rFonts w:ascii="Arial" w:eastAsia="Times New Roman" w:hAnsi="Times New Roman" w:cs="Times New Roman"/>
      <w:b/>
      <w:color w:val="000000"/>
      <w:sz w:val="18"/>
      <w:szCs w:val="24"/>
    </w:rPr>
  </w:style>
  <w:style w:type="paragraph" w:styleId="FootnoteText">
    <w:name w:val="footnote text"/>
    <w:basedOn w:val="Normal"/>
    <w:link w:val="FootnoteTextChar"/>
    <w:uiPriority w:val="99"/>
    <w:semiHidden/>
    <w:rsid w:val="00B920A9"/>
    <w:rPr>
      <w:sz w:val="20"/>
      <w:szCs w:val="20"/>
    </w:rPr>
  </w:style>
  <w:style w:type="character" w:customStyle="1" w:styleId="FootnoteTextChar">
    <w:name w:val="Footnote Text Char"/>
    <w:basedOn w:val="DefaultParagraphFont"/>
    <w:link w:val="FootnoteText"/>
    <w:uiPriority w:val="99"/>
    <w:semiHidden/>
    <w:rsid w:val="00B920A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B920A9"/>
    <w:rPr>
      <w:vertAlign w:val="superscript"/>
    </w:rPr>
  </w:style>
  <w:style w:type="paragraph" w:customStyle="1" w:styleId="NumPara6">
    <w:name w:val="Num Para 6"/>
    <w:basedOn w:val="Normal"/>
    <w:uiPriority w:val="99"/>
    <w:rsid w:val="00B920A9"/>
    <w:pPr>
      <w:widowControl w:val="0"/>
      <w:numPr>
        <w:ilvl w:val="1"/>
        <w:numId w:val="1"/>
      </w:numPr>
      <w:tabs>
        <w:tab w:val="left" w:pos="567"/>
      </w:tabs>
      <w:spacing w:before="120" w:after="120"/>
      <w:jc w:val="both"/>
      <w:outlineLvl w:val="1"/>
    </w:pPr>
    <w:rPr>
      <w:rFonts w:ascii="Arial" w:hAnsi="Arial" w:cs="Arial"/>
      <w:bCs/>
      <w:iCs/>
      <w:sz w:val="22"/>
      <w:szCs w:val="28"/>
    </w:rPr>
  </w:style>
  <w:style w:type="paragraph" w:customStyle="1" w:styleId="NumPara9">
    <w:name w:val="Num Para 9"/>
    <w:basedOn w:val="Normal"/>
    <w:link w:val="NumPara9Char"/>
    <w:rsid w:val="00B920A9"/>
    <w:pPr>
      <w:widowControl w:val="0"/>
      <w:numPr>
        <w:ilvl w:val="1"/>
        <w:numId w:val="2"/>
      </w:numPr>
      <w:tabs>
        <w:tab w:val="left" w:pos="567"/>
      </w:tabs>
      <w:spacing w:before="120" w:after="120"/>
      <w:jc w:val="both"/>
      <w:outlineLvl w:val="1"/>
    </w:pPr>
    <w:rPr>
      <w:rFonts w:ascii="Arial" w:hAnsi="Arial" w:cs="Arial"/>
      <w:bCs/>
      <w:iCs/>
      <w:sz w:val="22"/>
      <w:szCs w:val="28"/>
    </w:rPr>
  </w:style>
  <w:style w:type="character" w:customStyle="1" w:styleId="NumPara9Char">
    <w:name w:val="Num Para 9 Char"/>
    <w:basedOn w:val="DefaultParagraphFont"/>
    <w:link w:val="NumPara9"/>
    <w:rsid w:val="00B920A9"/>
    <w:rPr>
      <w:rFonts w:ascii="Arial" w:eastAsia="Times New Roman" w:hAnsi="Arial" w:cs="Arial"/>
      <w:bCs/>
      <w:iCs/>
      <w:szCs w:val="28"/>
    </w:rPr>
  </w:style>
  <w:style w:type="paragraph" w:styleId="ListParagraph">
    <w:name w:val="List Paragraph"/>
    <w:basedOn w:val="Normal"/>
    <w:uiPriority w:val="34"/>
    <w:qFormat/>
    <w:rsid w:val="00B920A9"/>
    <w:pPr>
      <w:ind w:left="720"/>
      <w:contextualSpacing/>
    </w:pPr>
  </w:style>
  <w:style w:type="table" w:customStyle="1" w:styleId="LightList-Accent11">
    <w:name w:val="Light List - Accent 11"/>
    <w:basedOn w:val="TableNormal"/>
    <w:uiPriority w:val="61"/>
    <w:rsid w:val="00B920A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Autospacing="0" w:afterLines="0" w:afterAutospacing="0" w:line="240" w:lineRule="auto"/>
      </w:pPr>
      <w:rPr>
        <w:b/>
        <w:bCs/>
        <w:color w:val="FFFFFF" w:themeColor="background1"/>
      </w:rPr>
      <w:tblPr/>
      <w:tcPr>
        <w:shd w:val="clear" w:color="auto" w:fill="5B9BD5" w:themeFill="accent1"/>
      </w:tcPr>
    </w:tblStylePr>
    <w:tblStylePr w:type="lastRow">
      <w:pPr>
        <w:spacing w:beforeLines="0" w:beforeAutospacing="0" w:afterLines="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McCandliss, Robin R.</dc:creator>
  <cp:keywords/>
  <dc:description/>
  <cp:lastModifiedBy>McCandliss, Robin R.</cp:lastModifiedBy>
  <cp:revision>2</cp:revision>
  <dcterms:created xsi:type="dcterms:W3CDTF">2018-04-16T14:15:00Z</dcterms:created>
  <dcterms:modified xsi:type="dcterms:W3CDTF">2018-04-16T14:15:00Z</dcterms:modified>
</cp:coreProperties>
</file>