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D127" w14:textId="77777777" w:rsidR="00F30F60" w:rsidRDefault="0096450A" w:rsidP="00510BA2">
      <w:pPr>
        <w:pStyle w:val="Heading1"/>
        <w:rPr>
          <w:b w:val="0"/>
        </w:rPr>
      </w:pPr>
      <w:r>
        <w:t>Geospatial Commission</w:t>
      </w:r>
      <w:r w:rsidR="00510BA2">
        <w:t xml:space="preserve">: </w:t>
      </w:r>
      <w:r>
        <w:t>Call For Evidence Response Questionnaire</w:t>
      </w:r>
    </w:p>
    <w:p w14:paraId="7C1D8CB9" w14:textId="77777777" w:rsidR="00F30F60" w:rsidRDefault="0096450A" w:rsidP="00510BA2">
      <w:r>
        <w:t>Please submit your completed questionnaire to:</w:t>
      </w:r>
    </w:p>
    <w:p w14:paraId="14AC80F5" w14:textId="77777777" w:rsidR="00F30F60" w:rsidRDefault="00BF100F" w:rsidP="00510BA2">
      <w:pPr>
        <w:rPr>
          <w:szCs w:val="24"/>
        </w:rPr>
      </w:pPr>
      <w:hyperlink r:id="rId8">
        <w:r w:rsidR="0096450A">
          <w:rPr>
            <w:color w:val="1155CC"/>
            <w:szCs w:val="24"/>
            <w:u w:val="single"/>
          </w:rPr>
          <w:t>geospatialcommission@cabinetoffice.gov.uk</w:t>
        </w:r>
      </w:hyperlink>
      <w:r w:rsidR="0096450A">
        <w:rPr>
          <w:szCs w:val="24"/>
        </w:rPr>
        <w:t xml:space="preserve">.  </w:t>
      </w:r>
    </w:p>
    <w:p w14:paraId="38DBF246" w14:textId="77777777" w:rsidR="00F30F60" w:rsidRDefault="0096450A" w:rsidP="00510BA2">
      <w:pPr>
        <w:rPr>
          <w:b/>
          <w:szCs w:val="24"/>
        </w:rPr>
      </w:pPr>
      <w:r>
        <w:rPr>
          <w:szCs w:val="24"/>
        </w:rPr>
        <w:t xml:space="preserve">Clearly title your email </w:t>
      </w:r>
      <w:r>
        <w:rPr>
          <w:i/>
          <w:szCs w:val="24"/>
        </w:rPr>
        <w:t>‘Call for evidence response’</w:t>
      </w:r>
      <w:r>
        <w:rPr>
          <w:szCs w:val="24"/>
        </w:rPr>
        <w:t xml:space="preserve">. </w:t>
      </w:r>
    </w:p>
    <w:p w14:paraId="7BFC7B13" w14:textId="3D0445A4" w:rsidR="00F30F60" w:rsidRPr="00CE6A35" w:rsidRDefault="0096450A" w:rsidP="00CE6A35">
      <w:pPr>
        <w:pStyle w:val="Heading2"/>
        <w:rPr>
          <w:b w:val="0"/>
        </w:rPr>
      </w:pPr>
      <w:r>
        <w:t>About you and your organisation</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F30F60" w14:paraId="054B8B26" w14:textId="77777777">
        <w:tc>
          <w:tcPr>
            <w:tcW w:w="4514" w:type="dxa"/>
            <w:shd w:val="clear" w:color="auto" w:fill="auto"/>
            <w:tcMar>
              <w:top w:w="100" w:type="dxa"/>
              <w:left w:w="100" w:type="dxa"/>
              <w:bottom w:w="100" w:type="dxa"/>
              <w:right w:w="100" w:type="dxa"/>
            </w:tcMar>
          </w:tcPr>
          <w:p w14:paraId="200A7D18" w14:textId="77777777" w:rsidR="00F30F60" w:rsidRDefault="0096450A" w:rsidP="00CE6A35">
            <w:pPr>
              <w:pStyle w:val="TableTitle"/>
            </w:pPr>
            <w:r>
              <w:t>Name</w:t>
            </w:r>
          </w:p>
        </w:tc>
        <w:tc>
          <w:tcPr>
            <w:tcW w:w="4514" w:type="dxa"/>
            <w:shd w:val="clear" w:color="auto" w:fill="auto"/>
            <w:tcMar>
              <w:top w:w="100" w:type="dxa"/>
              <w:left w:w="100" w:type="dxa"/>
              <w:bottom w:w="100" w:type="dxa"/>
              <w:right w:w="100" w:type="dxa"/>
            </w:tcMar>
          </w:tcPr>
          <w:p w14:paraId="4D6DB87E" w14:textId="0C6E5490" w:rsidR="00F30F60" w:rsidRPr="00E54129" w:rsidRDefault="00E54129" w:rsidP="00CE6A35">
            <w:pPr>
              <w:pStyle w:val="TableText"/>
              <w:rPr>
                <w:lang w:val="en-GB"/>
              </w:rPr>
            </w:pPr>
            <w:proofErr w:type="spellStart"/>
            <w:r>
              <w:rPr>
                <w:lang w:val="en-GB"/>
              </w:rPr>
              <w:t>Dr.</w:t>
            </w:r>
            <w:proofErr w:type="spellEnd"/>
            <w:r>
              <w:rPr>
                <w:lang w:val="en-GB"/>
              </w:rPr>
              <w:t xml:space="preserve"> Clare Postlethwaite</w:t>
            </w:r>
          </w:p>
        </w:tc>
      </w:tr>
      <w:tr w:rsidR="00F30F60" w14:paraId="0DB15EC2" w14:textId="77777777">
        <w:tc>
          <w:tcPr>
            <w:tcW w:w="4514" w:type="dxa"/>
            <w:shd w:val="clear" w:color="auto" w:fill="auto"/>
            <w:tcMar>
              <w:top w:w="100" w:type="dxa"/>
              <w:left w:w="100" w:type="dxa"/>
              <w:bottom w:w="100" w:type="dxa"/>
              <w:right w:w="100" w:type="dxa"/>
            </w:tcMar>
          </w:tcPr>
          <w:p w14:paraId="3E25EE52" w14:textId="77777777" w:rsidR="00F30F60" w:rsidRDefault="0096450A" w:rsidP="00CE6A35">
            <w:pPr>
              <w:pStyle w:val="TableTitle"/>
            </w:pPr>
            <w:r>
              <w:t>Organisation</w:t>
            </w:r>
          </w:p>
        </w:tc>
        <w:tc>
          <w:tcPr>
            <w:tcW w:w="4514" w:type="dxa"/>
            <w:shd w:val="clear" w:color="auto" w:fill="auto"/>
            <w:tcMar>
              <w:top w:w="100" w:type="dxa"/>
              <w:left w:w="100" w:type="dxa"/>
              <w:bottom w:w="100" w:type="dxa"/>
              <w:right w:w="100" w:type="dxa"/>
            </w:tcMar>
          </w:tcPr>
          <w:p w14:paraId="50349E7F" w14:textId="7AF187E9" w:rsidR="00F30F60" w:rsidRPr="00E54129" w:rsidRDefault="00E54129" w:rsidP="00CE6A35">
            <w:pPr>
              <w:pStyle w:val="TableText"/>
              <w:rPr>
                <w:lang w:val="en-GB"/>
              </w:rPr>
            </w:pPr>
            <w:r>
              <w:rPr>
                <w:lang w:val="en-GB"/>
              </w:rPr>
              <w:t>Marine Environmental Data and Information Network (MEDIN)</w:t>
            </w:r>
          </w:p>
        </w:tc>
      </w:tr>
      <w:tr w:rsidR="00F30F60" w14:paraId="108C3121" w14:textId="77777777">
        <w:tc>
          <w:tcPr>
            <w:tcW w:w="4514" w:type="dxa"/>
            <w:shd w:val="clear" w:color="auto" w:fill="auto"/>
            <w:tcMar>
              <w:top w:w="100" w:type="dxa"/>
              <w:left w:w="100" w:type="dxa"/>
              <w:bottom w:w="100" w:type="dxa"/>
              <w:right w:w="100" w:type="dxa"/>
            </w:tcMar>
          </w:tcPr>
          <w:p w14:paraId="688CEC2D" w14:textId="77777777" w:rsidR="00F30F60" w:rsidRDefault="0096450A" w:rsidP="00CE6A35">
            <w:pPr>
              <w:pStyle w:val="TableTitle"/>
            </w:pPr>
            <w:r>
              <w:t>Job title</w:t>
            </w:r>
          </w:p>
        </w:tc>
        <w:tc>
          <w:tcPr>
            <w:tcW w:w="4514" w:type="dxa"/>
            <w:shd w:val="clear" w:color="auto" w:fill="auto"/>
            <w:tcMar>
              <w:top w:w="100" w:type="dxa"/>
              <w:left w:w="100" w:type="dxa"/>
              <w:bottom w:w="100" w:type="dxa"/>
              <w:right w:w="100" w:type="dxa"/>
            </w:tcMar>
          </w:tcPr>
          <w:p w14:paraId="014D60EE" w14:textId="337D7ADD" w:rsidR="00F30F60" w:rsidRPr="00E54129" w:rsidRDefault="00E54129" w:rsidP="00CE6A35">
            <w:pPr>
              <w:pStyle w:val="TableText"/>
              <w:rPr>
                <w:lang w:val="en-GB"/>
              </w:rPr>
            </w:pPr>
            <w:r>
              <w:rPr>
                <w:lang w:val="en-GB"/>
              </w:rPr>
              <w:t>MEDIN Co-ordinator</w:t>
            </w:r>
          </w:p>
        </w:tc>
      </w:tr>
      <w:tr w:rsidR="00F30F60" w14:paraId="53DD9ACD" w14:textId="77777777">
        <w:tc>
          <w:tcPr>
            <w:tcW w:w="4514" w:type="dxa"/>
            <w:shd w:val="clear" w:color="auto" w:fill="auto"/>
            <w:tcMar>
              <w:top w:w="100" w:type="dxa"/>
              <w:left w:w="100" w:type="dxa"/>
              <w:bottom w:w="100" w:type="dxa"/>
              <w:right w:w="100" w:type="dxa"/>
            </w:tcMar>
          </w:tcPr>
          <w:p w14:paraId="6D4567F9" w14:textId="77777777" w:rsidR="00F30F60" w:rsidRDefault="0096450A" w:rsidP="00CE6A35">
            <w:pPr>
              <w:pStyle w:val="TableTitle"/>
            </w:pPr>
            <w:r>
              <w:t>Address</w:t>
            </w:r>
          </w:p>
        </w:tc>
        <w:tc>
          <w:tcPr>
            <w:tcW w:w="4514" w:type="dxa"/>
            <w:shd w:val="clear" w:color="auto" w:fill="auto"/>
            <w:tcMar>
              <w:top w:w="100" w:type="dxa"/>
              <w:left w:w="100" w:type="dxa"/>
              <w:bottom w:w="100" w:type="dxa"/>
              <w:right w:w="100" w:type="dxa"/>
            </w:tcMar>
          </w:tcPr>
          <w:p w14:paraId="1AB2AE83" w14:textId="5509010D" w:rsidR="00F30F60" w:rsidRPr="00E54129" w:rsidRDefault="00E54129" w:rsidP="00CE6A35">
            <w:pPr>
              <w:pStyle w:val="TableText"/>
              <w:rPr>
                <w:lang w:val="en-GB"/>
              </w:rPr>
            </w:pPr>
            <w:r>
              <w:rPr>
                <w:lang w:val="en-GB"/>
              </w:rPr>
              <w:t>National Oceanography Centre, 6 Brownlow Street, Liverpool, L3 5DA</w:t>
            </w:r>
          </w:p>
        </w:tc>
      </w:tr>
      <w:tr w:rsidR="00F30F60" w14:paraId="2DC30597" w14:textId="77777777">
        <w:tc>
          <w:tcPr>
            <w:tcW w:w="4514" w:type="dxa"/>
            <w:shd w:val="clear" w:color="auto" w:fill="auto"/>
            <w:tcMar>
              <w:top w:w="100" w:type="dxa"/>
              <w:left w:w="100" w:type="dxa"/>
              <w:bottom w:w="100" w:type="dxa"/>
              <w:right w:w="100" w:type="dxa"/>
            </w:tcMar>
          </w:tcPr>
          <w:p w14:paraId="778881B0" w14:textId="77777777" w:rsidR="00F30F60" w:rsidRDefault="0096450A" w:rsidP="00CE6A35">
            <w:pPr>
              <w:pStyle w:val="TableTitle"/>
            </w:pPr>
            <w:r>
              <w:t xml:space="preserve">E-mail </w:t>
            </w:r>
          </w:p>
        </w:tc>
        <w:tc>
          <w:tcPr>
            <w:tcW w:w="4514" w:type="dxa"/>
            <w:shd w:val="clear" w:color="auto" w:fill="auto"/>
            <w:tcMar>
              <w:top w:w="100" w:type="dxa"/>
              <w:left w:w="100" w:type="dxa"/>
              <w:bottom w:w="100" w:type="dxa"/>
              <w:right w:w="100" w:type="dxa"/>
            </w:tcMar>
          </w:tcPr>
          <w:p w14:paraId="4AE42743" w14:textId="330A0F6A" w:rsidR="00F30F60" w:rsidRPr="00E54129" w:rsidRDefault="00BF100F" w:rsidP="00CE6A35">
            <w:pPr>
              <w:pStyle w:val="TableText"/>
              <w:rPr>
                <w:lang w:val="en-GB"/>
              </w:rPr>
            </w:pPr>
            <w:hyperlink r:id="rId9" w:history="1">
              <w:r w:rsidR="00E54129" w:rsidRPr="00641605">
                <w:rPr>
                  <w:rStyle w:val="Hyperlink"/>
                  <w:lang w:val="en-GB"/>
                </w:rPr>
                <w:t>cfpo@bodc.ac.uk</w:t>
              </w:r>
            </w:hyperlink>
          </w:p>
        </w:tc>
      </w:tr>
      <w:tr w:rsidR="00F30F60" w14:paraId="239A5D8C" w14:textId="77777777">
        <w:tc>
          <w:tcPr>
            <w:tcW w:w="4514" w:type="dxa"/>
            <w:shd w:val="clear" w:color="auto" w:fill="auto"/>
            <w:tcMar>
              <w:top w:w="100" w:type="dxa"/>
              <w:left w:w="100" w:type="dxa"/>
              <w:bottom w:w="100" w:type="dxa"/>
              <w:right w:w="100" w:type="dxa"/>
            </w:tcMar>
          </w:tcPr>
          <w:p w14:paraId="2DBA39F0" w14:textId="77777777" w:rsidR="00F30F60" w:rsidRDefault="0096450A" w:rsidP="00CE6A35">
            <w:pPr>
              <w:pStyle w:val="TableTitle"/>
            </w:pPr>
            <w:r>
              <w:t>Telephone</w:t>
            </w:r>
          </w:p>
        </w:tc>
        <w:tc>
          <w:tcPr>
            <w:tcW w:w="4514" w:type="dxa"/>
            <w:shd w:val="clear" w:color="auto" w:fill="auto"/>
            <w:tcMar>
              <w:top w:w="100" w:type="dxa"/>
              <w:left w:w="100" w:type="dxa"/>
              <w:bottom w:w="100" w:type="dxa"/>
              <w:right w:w="100" w:type="dxa"/>
            </w:tcMar>
          </w:tcPr>
          <w:p w14:paraId="5C4D7BFC" w14:textId="2C06D933" w:rsidR="00F30F60" w:rsidRPr="00E54129" w:rsidRDefault="00E54129" w:rsidP="00CE6A35">
            <w:pPr>
              <w:pStyle w:val="TableText"/>
              <w:rPr>
                <w:lang w:val="en-GB"/>
              </w:rPr>
            </w:pPr>
            <w:r>
              <w:rPr>
                <w:lang w:val="en-GB"/>
              </w:rPr>
              <w:t>0151 7954949</w:t>
            </w:r>
          </w:p>
        </w:tc>
      </w:tr>
    </w:tbl>
    <w:p w14:paraId="46395691" w14:textId="67F076FF" w:rsidR="00F30F60" w:rsidRPr="00CE6A35" w:rsidRDefault="0096450A" w:rsidP="00CE6A35">
      <w:pPr>
        <w:pStyle w:val="Heading2"/>
      </w:pPr>
      <w:r>
        <w:t>Please select which of the following best describes you as a respondent:</w:t>
      </w: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F30F60" w14:paraId="519E0E03" w14:textId="77777777">
        <w:tc>
          <w:tcPr>
            <w:tcW w:w="4514" w:type="dxa"/>
            <w:shd w:val="clear" w:color="auto" w:fill="auto"/>
            <w:tcMar>
              <w:top w:w="100" w:type="dxa"/>
              <w:left w:w="100" w:type="dxa"/>
              <w:bottom w:w="100" w:type="dxa"/>
              <w:right w:w="100" w:type="dxa"/>
            </w:tcMar>
          </w:tcPr>
          <w:p w14:paraId="20BAD01F" w14:textId="77777777" w:rsidR="00F30F60" w:rsidRDefault="0096450A" w:rsidP="00CE6A35">
            <w:pPr>
              <w:pStyle w:val="TableTitle"/>
            </w:pPr>
            <w:r>
              <w:t>Respondent</w:t>
            </w:r>
          </w:p>
        </w:tc>
        <w:tc>
          <w:tcPr>
            <w:tcW w:w="4514" w:type="dxa"/>
            <w:shd w:val="clear" w:color="auto" w:fill="auto"/>
            <w:tcMar>
              <w:top w:w="100" w:type="dxa"/>
              <w:left w:w="100" w:type="dxa"/>
              <w:bottom w:w="100" w:type="dxa"/>
              <w:right w:w="100" w:type="dxa"/>
            </w:tcMar>
          </w:tcPr>
          <w:p w14:paraId="39CEE7C4" w14:textId="77777777" w:rsidR="00F30F60" w:rsidRDefault="0096450A" w:rsidP="00CE6A35">
            <w:pPr>
              <w:pStyle w:val="TableTitle"/>
            </w:pPr>
            <w:r>
              <w:t>Please mark with a X</w:t>
            </w:r>
          </w:p>
        </w:tc>
      </w:tr>
      <w:tr w:rsidR="00F30F60" w14:paraId="69D96C33" w14:textId="77777777">
        <w:tc>
          <w:tcPr>
            <w:tcW w:w="4514" w:type="dxa"/>
            <w:shd w:val="clear" w:color="auto" w:fill="auto"/>
            <w:tcMar>
              <w:top w:w="100" w:type="dxa"/>
              <w:left w:w="100" w:type="dxa"/>
              <w:bottom w:w="100" w:type="dxa"/>
              <w:right w:w="100" w:type="dxa"/>
            </w:tcMar>
          </w:tcPr>
          <w:p w14:paraId="378C71B1"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Academic</w:t>
            </w:r>
          </w:p>
        </w:tc>
        <w:tc>
          <w:tcPr>
            <w:tcW w:w="4514" w:type="dxa"/>
            <w:shd w:val="clear" w:color="auto" w:fill="auto"/>
            <w:tcMar>
              <w:top w:w="100" w:type="dxa"/>
              <w:left w:w="100" w:type="dxa"/>
              <w:bottom w:w="100" w:type="dxa"/>
              <w:right w:w="100" w:type="dxa"/>
            </w:tcMar>
          </w:tcPr>
          <w:p w14:paraId="21F25CA8"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456FCFE9" w14:textId="77777777">
        <w:tc>
          <w:tcPr>
            <w:tcW w:w="4514" w:type="dxa"/>
            <w:shd w:val="clear" w:color="auto" w:fill="auto"/>
            <w:tcMar>
              <w:top w:w="100" w:type="dxa"/>
              <w:left w:w="100" w:type="dxa"/>
              <w:bottom w:w="100" w:type="dxa"/>
              <w:right w:w="100" w:type="dxa"/>
            </w:tcMar>
          </w:tcPr>
          <w:p w14:paraId="5518D231"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Business representative / trade body</w:t>
            </w:r>
          </w:p>
        </w:tc>
        <w:tc>
          <w:tcPr>
            <w:tcW w:w="4514" w:type="dxa"/>
            <w:shd w:val="clear" w:color="auto" w:fill="auto"/>
            <w:tcMar>
              <w:top w:w="100" w:type="dxa"/>
              <w:left w:w="100" w:type="dxa"/>
              <w:bottom w:w="100" w:type="dxa"/>
              <w:right w:w="100" w:type="dxa"/>
            </w:tcMar>
          </w:tcPr>
          <w:p w14:paraId="344490B2"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4708A25A" w14:textId="77777777">
        <w:tc>
          <w:tcPr>
            <w:tcW w:w="4514" w:type="dxa"/>
            <w:shd w:val="clear" w:color="auto" w:fill="auto"/>
            <w:tcMar>
              <w:top w:w="100" w:type="dxa"/>
              <w:left w:w="100" w:type="dxa"/>
              <w:bottom w:w="100" w:type="dxa"/>
              <w:right w:w="100" w:type="dxa"/>
            </w:tcMar>
          </w:tcPr>
          <w:p w14:paraId="6D87EFEA"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Central government</w:t>
            </w:r>
          </w:p>
        </w:tc>
        <w:tc>
          <w:tcPr>
            <w:tcW w:w="4514" w:type="dxa"/>
            <w:shd w:val="clear" w:color="auto" w:fill="auto"/>
            <w:tcMar>
              <w:top w:w="100" w:type="dxa"/>
              <w:left w:w="100" w:type="dxa"/>
              <w:bottom w:w="100" w:type="dxa"/>
              <w:right w:w="100" w:type="dxa"/>
            </w:tcMar>
          </w:tcPr>
          <w:p w14:paraId="130BCEC9"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43370D74" w14:textId="77777777">
        <w:tc>
          <w:tcPr>
            <w:tcW w:w="4514" w:type="dxa"/>
            <w:shd w:val="clear" w:color="auto" w:fill="auto"/>
            <w:tcMar>
              <w:top w:w="100" w:type="dxa"/>
              <w:left w:w="100" w:type="dxa"/>
              <w:bottom w:w="100" w:type="dxa"/>
              <w:right w:w="100" w:type="dxa"/>
            </w:tcMar>
          </w:tcPr>
          <w:p w14:paraId="31492C6A"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Charity or social enterprise</w:t>
            </w:r>
          </w:p>
        </w:tc>
        <w:tc>
          <w:tcPr>
            <w:tcW w:w="4514" w:type="dxa"/>
            <w:shd w:val="clear" w:color="auto" w:fill="auto"/>
            <w:tcMar>
              <w:top w:w="100" w:type="dxa"/>
              <w:left w:w="100" w:type="dxa"/>
              <w:bottom w:w="100" w:type="dxa"/>
              <w:right w:w="100" w:type="dxa"/>
            </w:tcMar>
          </w:tcPr>
          <w:p w14:paraId="5F39B08D"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75E81FFB" w14:textId="77777777">
        <w:tc>
          <w:tcPr>
            <w:tcW w:w="4514" w:type="dxa"/>
            <w:shd w:val="clear" w:color="auto" w:fill="auto"/>
            <w:tcMar>
              <w:top w:w="100" w:type="dxa"/>
              <w:left w:w="100" w:type="dxa"/>
              <w:bottom w:w="100" w:type="dxa"/>
              <w:right w:w="100" w:type="dxa"/>
            </w:tcMar>
          </w:tcPr>
          <w:p w14:paraId="320BFB20"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Individual</w:t>
            </w:r>
          </w:p>
        </w:tc>
        <w:tc>
          <w:tcPr>
            <w:tcW w:w="4514" w:type="dxa"/>
            <w:shd w:val="clear" w:color="auto" w:fill="auto"/>
            <w:tcMar>
              <w:top w:w="100" w:type="dxa"/>
              <w:left w:w="100" w:type="dxa"/>
              <w:bottom w:w="100" w:type="dxa"/>
              <w:right w:w="100" w:type="dxa"/>
            </w:tcMar>
          </w:tcPr>
          <w:p w14:paraId="10ADC841"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68B74371" w14:textId="77777777">
        <w:tc>
          <w:tcPr>
            <w:tcW w:w="4514" w:type="dxa"/>
            <w:shd w:val="clear" w:color="auto" w:fill="auto"/>
            <w:tcMar>
              <w:top w:w="100" w:type="dxa"/>
              <w:left w:w="100" w:type="dxa"/>
              <w:bottom w:w="100" w:type="dxa"/>
              <w:right w:w="100" w:type="dxa"/>
            </w:tcMar>
          </w:tcPr>
          <w:p w14:paraId="651FCD21"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Legal representative</w:t>
            </w:r>
          </w:p>
        </w:tc>
        <w:tc>
          <w:tcPr>
            <w:tcW w:w="4514" w:type="dxa"/>
            <w:shd w:val="clear" w:color="auto" w:fill="auto"/>
            <w:tcMar>
              <w:top w:w="100" w:type="dxa"/>
              <w:left w:w="100" w:type="dxa"/>
              <w:bottom w:w="100" w:type="dxa"/>
              <w:right w:w="100" w:type="dxa"/>
            </w:tcMar>
          </w:tcPr>
          <w:p w14:paraId="100D4907"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6989E870" w14:textId="77777777">
        <w:tc>
          <w:tcPr>
            <w:tcW w:w="4514" w:type="dxa"/>
            <w:shd w:val="clear" w:color="auto" w:fill="auto"/>
            <w:tcMar>
              <w:top w:w="100" w:type="dxa"/>
              <w:left w:w="100" w:type="dxa"/>
              <w:bottom w:w="100" w:type="dxa"/>
              <w:right w:w="100" w:type="dxa"/>
            </w:tcMar>
          </w:tcPr>
          <w:p w14:paraId="59A34534"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Local government</w:t>
            </w:r>
          </w:p>
        </w:tc>
        <w:tc>
          <w:tcPr>
            <w:tcW w:w="4514" w:type="dxa"/>
            <w:shd w:val="clear" w:color="auto" w:fill="auto"/>
            <w:tcMar>
              <w:top w:w="100" w:type="dxa"/>
              <w:left w:w="100" w:type="dxa"/>
              <w:bottom w:w="100" w:type="dxa"/>
              <w:right w:w="100" w:type="dxa"/>
            </w:tcMar>
          </w:tcPr>
          <w:p w14:paraId="67A2BF18"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0CB2127E" w14:textId="77777777">
        <w:tc>
          <w:tcPr>
            <w:tcW w:w="4514" w:type="dxa"/>
            <w:shd w:val="clear" w:color="auto" w:fill="auto"/>
            <w:tcMar>
              <w:top w:w="100" w:type="dxa"/>
              <w:left w:w="100" w:type="dxa"/>
              <w:bottom w:w="100" w:type="dxa"/>
              <w:right w:w="100" w:type="dxa"/>
            </w:tcMar>
          </w:tcPr>
          <w:p w14:paraId="6AA70007"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Large business (over 250 staff)</w:t>
            </w:r>
          </w:p>
        </w:tc>
        <w:tc>
          <w:tcPr>
            <w:tcW w:w="4514" w:type="dxa"/>
            <w:shd w:val="clear" w:color="auto" w:fill="auto"/>
            <w:tcMar>
              <w:top w:w="100" w:type="dxa"/>
              <w:left w:w="100" w:type="dxa"/>
              <w:bottom w:w="100" w:type="dxa"/>
              <w:right w:w="100" w:type="dxa"/>
            </w:tcMar>
          </w:tcPr>
          <w:p w14:paraId="23B9099A"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07853A23" w14:textId="77777777">
        <w:tc>
          <w:tcPr>
            <w:tcW w:w="4514" w:type="dxa"/>
            <w:shd w:val="clear" w:color="auto" w:fill="auto"/>
            <w:tcMar>
              <w:top w:w="100" w:type="dxa"/>
              <w:left w:w="100" w:type="dxa"/>
              <w:bottom w:w="100" w:type="dxa"/>
              <w:right w:w="100" w:type="dxa"/>
            </w:tcMar>
          </w:tcPr>
          <w:p w14:paraId="267C326F"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Medium business (50 to 250)</w:t>
            </w:r>
          </w:p>
        </w:tc>
        <w:tc>
          <w:tcPr>
            <w:tcW w:w="4514" w:type="dxa"/>
            <w:shd w:val="clear" w:color="auto" w:fill="auto"/>
            <w:tcMar>
              <w:top w:w="100" w:type="dxa"/>
              <w:left w:w="100" w:type="dxa"/>
              <w:bottom w:w="100" w:type="dxa"/>
              <w:right w:w="100" w:type="dxa"/>
            </w:tcMar>
          </w:tcPr>
          <w:p w14:paraId="05A78AD1"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08FACB4F" w14:textId="77777777">
        <w:tc>
          <w:tcPr>
            <w:tcW w:w="4514" w:type="dxa"/>
            <w:shd w:val="clear" w:color="auto" w:fill="auto"/>
            <w:tcMar>
              <w:top w:w="100" w:type="dxa"/>
              <w:left w:w="100" w:type="dxa"/>
              <w:bottom w:w="100" w:type="dxa"/>
              <w:right w:w="100" w:type="dxa"/>
            </w:tcMar>
          </w:tcPr>
          <w:p w14:paraId="1D140BC3"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Small business (10 to 49)</w:t>
            </w:r>
          </w:p>
        </w:tc>
        <w:tc>
          <w:tcPr>
            <w:tcW w:w="4514" w:type="dxa"/>
            <w:shd w:val="clear" w:color="auto" w:fill="auto"/>
            <w:tcMar>
              <w:top w:w="100" w:type="dxa"/>
              <w:left w:w="100" w:type="dxa"/>
              <w:bottom w:w="100" w:type="dxa"/>
              <w:right w:w="100" w:type="dxa"/>
            </w:tcMar>
          </w:tcPr>
          <w:p w14:paraId="2513F06A"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569E37EB" w14:textId="77777777">
        <w:tc>
          <w:tcPr>
            <w:tcW w:w="4514" w:type="dxa"/>
            <w:shd w:val="clear" w:color="auto" w:fill="auto"/>
            <w:tcMar>
              <w:top w:w="100" w:type="dxa"/>
              <w:left w:w="100" w:type="dxa"/>
              <w:bottom w:w="100" w:type="dxa"/>
              <w:right w:w="100" w:type="dxa"/>
            </w:tcMar>
          </w:tcPr>
          <w:p w14:paraId="18563D0A"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t xml:space="preserve">Micro business (up to 9) </w:t>
            </w:r>
          </w:p>
        </w:tc>
        <w:tc>
          <w:tcPr>
            <w:tcW w:w="4514" w:type="dxa"/>
            <w:shd w:val="clear" w:color="auto" w:fill="auto"/>
            <w:tcMar>
              <w:top w:w="100" w:type="dxa"/>
              <w:left w:w="100" w:type="dxa"/>
              <w:bottom w:w="100" w:type="dxa"/>
              <w:right w:w="100" w:type="dxa"/>
            </w:tcMar>
          </w:tcPr>
          <w:p w14:paraId="3F7069F8"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r w:rsidR="00F30F60" w14:paraId="1BDA68D3" w14:textId="77777777">
        <w:tc>
          <w:tcPr>
            <w:tcW w:w="4514" w:type="dxa"/>
            <w:shd w:val="clear" w:color="auto" w:fill="auto"/>
            <w:tcMar>
              <w:top w:w="100" w:type="dxa"/>
              <w:left w:w="100" w:type="dxa"/>
              <w:bottom w:w="100" w:type="dxa"/>
              <w:right w:w="100" w:type="dxa"/>
            </w:tcMar>
          </w:tcPr>
          <w:p w14:paraId="0ED410A2" w14:textId="77777777" w:rsidR="00F30F60" w:rsidRDefault="0096450A">
            <w:pPr>
              <w:pStyle w:val="Normal1"/>
              <w:widowControl w:val="0"/>
              <w:pBdr>
                <w:top w:val="nil"/>
                <w:left w:val="nil"/>
                <w:bottom w:val="nil"/>
                <w:right w:val="nil"/>
                <w:between w:val="nil"/>
              </w:pBdr>
              <w:spacing w:line="240" w:lineRule="auto"/>
              <w:contextualSpacing w:val="0"/>
              <w:rPr>
                <w:sz w:val="24"/>
                <w:szCs w:val="24"/>
              </w:rPr>
            </w:pPr>
            <w:r>
              <w:rPr>
                <w:sz w:val="24"/>
                <w:szCs w:val="24"/>
              </w:rPr>
              <w:lastRenderedPageBreak/>
              <w:t>Other - please state</w:t>
            </w:r>
          </w:p>
        </w:tc>
        <w:tc>
          <w:tcPr>
            <w:tcW w:w="4514" w:type="dxa"/>
            <w:shd w:val="clear" w:color="auto" w:fill="auto"/>
            <w:tcMar>
              <w:top w:w="100" w:type="dxa"/>
              <w:left w:w="100" w:type="dxa"/>
              <w:bottom w:w="100" w:type="dxa"/>
              <w:right w:w="100" w:type="dxa"/>
            </w:tcMar>
          </w:tcPr>
          <w:p w14:paraId="788EDDA8" w14:textId="06F0FFBF" w:rsidR="00F30F60" w:rsidRPr="00E54129" w:rsidRDefault="00E54129">
            <w:pPr>
              <w:pStyle w:val="Normal1"/>
              <w:widowControl w:val="0"/>
              <w:pBdr>
                <w:top w:val="nil"/>
                <w:left w:val="nil"/>
                <w:bottom w:val="nil"/>
                <w:right w:val="nil"/>
                <w:between w:val="nil"/>
              </w:pBdr>
              <w:spacing w:line="240" w:lineRule="auto"/>
              <w:contextualSpacing w:val="0"/>
              <w:rPr>
                <w:b/>
                <w:sz w:val="24"/>
                <w:szCs w:val="24"/>
                <w:lang w:val="en-GB"/>
              </w:rPr>
            </w:pPr>
            <w:r>
              <w:rPr>
                <w:b/>
                <w:sz w:val="24"/>
                <w:szCs w:val="24"/>
                <w:lang w:val="en-GB"/>
              </w:rPr>
              <w:t>X We are a net</w:t>
            </w:r>
            <w:r w:rsidR="00BF100F">
              <w:rPr>
                <w:b/>
                <w:sz w:val="24"/>
                <w:szCs w:val="24"/>
                <w:lang w:val="en-GB"/>
              </w:rPr>
              <w:t>w</w:t>
            </w:r>
            <w:r>
              <w:rPr>
                <w:b/>
                <w:sz w:val="24"/>
                <w:szCs w:val="24"/>
                <w:lang w:val="en-GB"/>
              </w:rPr>
              <w:t>ork of organisations from across the public and private sectors, with an interest in marine geospatial data.</w:t>
            </w:r>
            <w:r w:rsidR="00104099">
              <w:rPr>
                <w:b/>
                <w:sz w:val="24"/>
                <w:szCs w:val="24"/>
                <w:lang w:val="en-GB"/>
              </w:rPr>
              <w:t xml:space="preserve"> Our sponsors come both the public and private sectors.</w:t>
            </w:r>
          </w:p>
        </w:tc>
      </w:tr>
    </w:tbl>
    <w:p w14:paraId="24F4249F" w14:textId="77777777" w:rsidR="00F30F60" w:rsidRDefault="0096450A" w:rsidP="00CE6A35">
      <w:pPr>
        <w:pStyle w:val="Heading2"/>
      </w:pPr>
      <w:bookmarkStart w:id="0" w:name="_nvvz30vckelu" w:colFirst="0" w:colLast="0"/>
      <w:bookmarkStart w:id="1" w:name="_wzzqfw60zql" w:colFirst="0" w:colLast="0"/>
      <w:bookmarkEnd w:id="0"/>
      <w:bookmarkEnd w:id="1"/>
      <w:r>
        <w:t>Call for evidence - three key themes</w:t>
      </w:r>
    </w:p>
    <w:p w14:paraId="452DA38E" w14:textId="77777777" w:rsidR="00F30F60" w:rsidRDefault="00F30F60">
      <w:pPr>
        <w:pStyle w:val="Normal1"/>
        <w:contextualSpacing w:val="0"/>
        <w:rPr>
          <w:sz w:val="24"/>
          <w:szCs w:val="24"/>
        </w:rPr>
      </w:pPr>
    </w:p>
    <w:p w14:paraId="264A62A2" w14:textId="691DB1CB" w:rsidR="00F30F60" w:rsidRPr="00CE6A35" w:rsidRDefault="0096450A" w:rsidP="00CE6A35">
      <w:r>
        <w:t>We have identified three high-level themes that could help our approach to setting a strategy which are as follows:</w:t>
      </w:r>
    </w:p>
    <w:p w14:paraId="0EB6B24E" w14:textId="77777777" w:rsidR="00F30F60" w:rsidRDefault="0096450A" w:rsidP="00CE6A35">
      <w:pPr>
        <w:pStyle w:val="ListParagraph"/>
        <w:numPr>
          <w:ilvl w:val="0"/>
          <w:numId w:val="1"/>
        </w:numPr>
      </w:pPr>
      <w:r w:rsidRPr="00CE6A35">
        <w:rPr>
          <w:b/>
        </w:rPr>
        <w:t>Supporting innovation in the geospatial sector</w:t>
      </w:r>
      <w:r>
        <w:t xml:space="preserve">, exploring how to secure cutting edge skills, the right access to data, and opportunities from emerging technologies for the geospatial sector itself </w:t>
      </w:r>
    </w:p>
    <w:p w14:paraId="11E30F77" w14:textId="77777777" w:rsidR="00F30F60" w:rsidRDefault="0096450A" w:rsidP="00CE6A35">
      <w:pPr>
        <w:pStyle w:val="ListParagraph"/>
        <w:numPr>
          <w:ilvl w:val="0"/>
          <w:numId w:val="1"/>
        </w:numPr>
      </w:pPr>
      <w:r w:rsidRPr="00CE6A35">
        <w:rPr>
          <w:b/>
        </w:rPr>
        <w:t>Enhancing the UK’s geospatial assets,</w:t>
      </w:r>
      <w:r>
        <w:t xml:space="preserve"> looking at how best to align interests, avoid duplication, and instill best practice across the whole public sector </w:t>
      </w:r>
    </w:p>
    <w:p w14:paraId="5A8A0EC8" w14:textId="786938D5" w:rsidR="00F30F60" w:rsidRPr="00CE6A35" w:rsidRDefault="0096450A" w:rsidP="00CE6A35">
      <w:pPr>
        <w:pStyle w:val="ListParagraph"/>
        <w:numPr>
          <w:ilvl w:val="0"/>
          <w:numId w:val="1"/>
        </w:numPr>
      </w:pPr>
      <w:r w:rsidRPr="00CE6A35">
        <w:rPr>
          <w:b/>
        </w:rPr>
        <w:t>Driving investment and productivity in geospatial applications</w:t>
      </w:r>
      <w:r>
        <w:t xml:space="preserve">, asking in which wider sectors the most value lies from better exploitation and use of geospatial data, in the UK and internationally </w:t>
      </w:r>
    </w:p>
    <w:p w14:paraId="4913C7A1" w14:textId="77B62A67" w:rsidR="00F30F60" w:rsidRPr="00CE6A35" w:rsidRDefault="0096450A" w:rsidP="00CE6A35">
      <w:pPr>
        <w:pStyle w:val="Heading2"/>
      </w:pPr>
      <w:r>
        <w:t>Our questions</w:t>
      </w:r>
    </w:p>
    <w:p w14:paraId="6713C4D3" w14:textId="5E8296D6" w:rsidR="00F30F60" w:rsidRPr="00B37F5C" w:rsidRDefault="0096450A" w:rsidP="00B37F5C">
      <w:pPr>
        <w:pStyle w:val="Question"/>
      </w:pPr>
      <w:r>
        <w:t>Q1. Is our view of the</w:t>
      </w:r>
      <w:r w:rsidR="00FF1BBE">
        <w:t xml:space="preserve"> geospatial data types accurate? I</w:t>
      </w:r>
      <w:r>
        <w:t>f not</w:t>
      </w:r>
      <w:r w:rsidR="00FF1BBE">
        <w:t>,</w:t>
      </w:r>
      <w:r>
        <w:t xml:space="preserve"> what should be included or excluded from this?</w:t>
      </w:r>
    </w:p>
    <w:tbl>
      <w:tblPr>
        <w:tblStyle w:val="a1"/>
        <w:tblW w:w="8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2"/>
      </w:tblGrid>
      <w:tr w:rsidR="00F30F60" w14:paraId="43360DEF" w14:textId="77777777" w:rsidTr="00B37F5C">
        <w:trPr>
          <w:trHeight w:val="2690"/>
        </w:trPr>
        <w:tc>
          <w:tcPr>
            <w:tcW w:w="8972" w:type="dxa"/>
            <w:shd w:val="clear" w:color="auto" w:fill="auto"/>
            <w:tcMar>
              <w:top w:w="100" w:type="dxa"/>
              <w:left w:w="100" w:type="dxa"/>
              <w:bottom w:w="100" w:type="dxa"/>
              <w:right w:w="100" w:type="dxa"/>
            </w:tcMar>
          </w:tcPr>
          <w:p w14:paraId="7C72C5AA" w14:textId="77777777" w:rsidR="00F30F60" w:rsidRDefault="00F30F60" w:rsidP="00CE6A35">
            <w:pPr>
              <w:pStyle w:val="TableText"/>
            </w:pPr>
          </w:p>
          <w:p w14:paraId="5A1603FE" w14:textId="46D24CB8" w:rsidR="00F30F60" w:rsidRDefault="00E54129" w:rsidP="00CE6A35">
            <w:pPr>
              <w:pStyle w:val="TableText"/>
              <w:rPr>
                <w:lang w:val="en-GB"/>
              </w:rPr>
            </w:pPr>
            <w:r>
              <w:rPr>
                <w:lang w:val="en-GB"/>
              </w:rPr>
              <w:t>Yes</w:t>
            </w:r>
            <w:r w:rsidR="00104099">
              <w:rPr>
                <w:lang w:val="en-GB"/>
              </w:rPr>
              <w:t>.</w:t>
            </w:r>
          </w:p>
          <w:p w14:paraId="225F2389" w14:textId="4D84D9C2" w:rsidR="00104099" w:rsidRDefault="00104099" w:rsidP="00CE6A35">
            <w:pPr>
              <w:pStyle w:val="TableText"/>
              <w:rPr>
                <w:lang w:val="en-GB"/>
              </w:rPr>
            </w:pPr>
            <w:r>
              <w:rPr>
                <w:lang w:val="en-GB"/>
              </w:rPr>
              <w:t xml:space="preserve">The Marine Environmental Data and Information Network (MEDIN) is an </w:t>
            </w:r>
            <w:proofErr w:type="gramStart"/>
            <w:r>
              <w:rPr>
                <w:lang w:val="en-GB"/>
              </w:rPr>
              <w:t>open  network</w:t>
            </w:r>
            <w:proofErr w:type="gramEnd"/>
            <w:r>
              <w:rPr>
                <w:lang w:val="en-GB"/>
              </w:rPr>
              <w:t xml:space="preserve"> of organisations committed to increasing access to marine environmental data. For the past decade, MEDIN has been working with hundreds of organisations to make marine geospatial data openly and easily available. MEDIN currently provides access to over 220 TB of marine geospatial data via its network of specialist data centres: </w:t>
            </w:r>
          </w:p>
          <w:p w14:paraId="7CA2B5C6" w14:textId="2F796944" w:rsidR="00104099" w:rsidRDefault="00104099" w:rsidP="00CE6A35">
            <w:pPr>
              <w:pStyle w:val="TableText"/>
              <w:rPr>
                <w:lang w:val="en-GB"/>
              </w:rPr>
            </w:pPr>
          </w:p>
          <w:p w14:paraId="61DA3E84" w14:textId="29BBD52D" w:rsidR="00104099" w:rsidRDefault="00104099" w:rsidP="00CE6A35">
            <w:pPr>
              <w:pStyle w:val="TableText"/>
              <w:rPr>
                <w:lang w:val="en-GB"/>
              </w:rPr>
            </w:pPr>
            <w:r>
              <w:rPr>
                <w:lang w:val="en-GB"/>
              </w:rPr>
              <w:t>UK Hydrographic Office (bathymetry data)</w:t>
            </w:r>
          </w:p>
          <w:p w14:paraId="5A04D977" w14:textId="77777777" w:rsidR="00104099" w:rsidRDefault="00104099" w:rsidP="00CE6A35">
            <w:pPr>
              <w:pStyle w:val="TableText"/>
              <w:rPr>
                <w:lang w:val="en-GB"/>
              </w:rPr>
            </w:pPr>
            <w:r>
              <w:rPr>
                <w:lang w:val="en-GB"/>
              </w:rPr>
              <w:t>British Oceanographic Data Centre (water column oceanography data)</w:t>
            </w:r>
          </w:p>
          <w:p w14:paraId="133CD914" w14:textId="4A98EECE" w:rsidR="00104099" w:rsidRDefault="00104099" w:rsidP="00CE6A35">
            <w:pPr>
              <w:pStyle w:val="TableText"/>
              <w:rPr>
                <w:lang w:val="en-GB"/>
              </w:rPr>
            </w:pPr>
            <w:r>
              <w:rPr>
                <w:lang w:val="en-GB"/>
              </w:rPr>
              <w:t>British Geological Survey (marine geology and geophysics data)</w:t>
            </w:r>
          </w:p>
          <w:p w14:paraId="0F328233" w14:textId="77777777" w:rsidR="006355E3" w:rsidRDefault="006355E3" w:rsidP="00CE6A35">
            <w:pPr>
              <w:pStyle w:val="TableText"/>
              <w:rPr>
                <w:lang w:val="en-GB"/>
              </w:rPr>
            </w:pPr>
            <w:r>
              <w:rPr>
                <w:lang w:val="en-GB"/>
              </w:rPr>
              <w:t>Met Office (marine meteorological data)</w:t>
            </w:r>
          </w:p>
          <w:p w14:paraId="6CB12B20" w14:textId="77777777" w:rsidR="006355E3" w:rsidRDefault="006355E3" w:rsidP="00CE6A35">
            <w:pPr>
              <w:pStyle w:val="TableText"/>
              <w:rPr>
                <w:lang w:val="en-GB"/>
              </w:rPr>
            </w:pPr>
            <w:r>
              <w:rPr>
                <w:lang w:val="en-GB"/>
              </w:rPr>
              <w:t>DASSH (marine species and habitats data)</w:t>
            </w:r>
          </w:p>
          <w:p w14:paraId="4F45E539" w14:textId="14AE7BC0" w:rsidR="006355E3" w:rsidRDefault="006355E3" w:rsidP="00CE6A35">
            <w:pPr>
              <w:pStyle w:val="TableText"/>
              <w:rPr>
                <w:lang w:val="en-GB"/>
              </w:rPr>
            </w:pPr>
            <w:r>
              <w:rPr>
                <w:lang w:val="en-GB"/>
              </w:rPr>
              <w:t>Marine Scotland; Cefas (fisheries data)</w:t>
            </w:r>
          </w:p>
          <w:p w14:paraId="25EDD599" w14:textId="3D0B58FC" w:rsidR="00104099" w:rsidRDefault="006355E3" w:rsidP="00CE6A35">
            <w:pPr>
              <w:pStyle w:val="TableText"/>
              <w:rPr>
                <w:lang w:val="en-GB"/>
              </w:rPr>
            </w:pPr>
            <w:r>
              <w:rPr>
                <w:lang w:val="en-GB"/>
              </w:rPr>
              <w:t xml:space="preserve">Archaeology Data Service; Historic Environment Scotland; Royal Commission on the Ancient and Historic </w:t>
            </w:r>
            <w:proofErr w:type="spellStart"/>
            <w:r>
              <w:rPr>
                <w:lang w:val="en-GB"/>
              </w:rPr>
              <w:t>MonumentsWales</w:t>
            </w:r>
            <w:proofErr w:type="spellEnd"/>
            <w:r>
              <w:rPr>
                <w:lang w:val="en-GB"/>
              </w:rPr>
              <w:t xml:space="preserve"> (marine historic environment data)</w:t>
            </w:r>
            <w:r w:rsidR="00104099">
              <w:rPr>
                <w:lang w:val="en-GB"/>
              </w:rPr>
              <w:t xml:space="preserve"> </w:t>
            </w:r>
          </w:p>
          <w:p w14:paraId="44C5E547" w14:textId="77777777" w:rsidR="00104099" w:rsidRDefault="00104099" w:rsidP="00CE6A35">
            <w:pPr>
              <w:pStyle w:val="TableText"/>
              <w:rPr>
                <w:lang w:val="en-GB"/>
              </w:rPr>
            </w:pPr>
          </w:p>
          <w:p w14:paraId="19A3FD38" w14:textId="3F38FD2E" w:rsidR="00F30F60" w:rsidRPr="00F758FC" w:rsidRDefault="00F758FC" w:rsidP="00104099">
            <w:pPr>
              <w:pStyle w:val="TableText"/>
              <w:rPr>
                <w:lang w:val="en-GB"/>
              </w:rPr>
            </w:pPr>
            <w:r>
              <w:rPr>
                <w:lang w:val="en-GB"/>
              </w:rPr>
              <w:t xml:space="preserve">MEDIN has 10 </w:t>
            </w:r>
            <w:proofErr w:type="spellStart"/>
            <w:r>
              <w:rPr>
                <w:lang w:val="en-GB"/>
              </w:rPr>
              <w:t>years experience</w:t>
            </w:r>
            <w:proofErr w:type="spellEnd"/>
            <w:r>
              <w:rPr>
                <w:lang w:val="en-GB"/>
              </w:rPr>
              <w:t xml:space="preserve"> working with the three high-level themes </w:t>
            </w:r>
            <w:r>
              <w:rPr>
                <w:lang w:val="en-GB"/>
              </w:rPr>
              <w:lastRenderedPageBreak/>
              <w:t>identified above and is keen to work with the Geospatial Commission to share knowledge, avoid duplication and continue to enhance the UK’s geospatial assets.</w:t>
            </w:r>
          </w:p>
        </w:tc>
      </w:tr>
    </w:tbl>
    <w:p w14:paraId="0BC15355" w14:textId="77777777" w:rsidR="00F30F60" w:rsidRDefault="00F30F60">
      <w:pPr>
        <w:pStyle w:val="Normal1"/>
        <w:contextualSpacing w:val="0"/>
        <w:rPr>
          <w:b/>
          <w:sz w:val="24"/>
          <w:szCs w:val="24"/>
        </w:rPr>
      </w:pPr>
    </w:p>
    <w:p w14:paraId="74F2B1B7" w14:textId="43A3ABAE" w:rsidR="00F30F60" w:rsidRPr="00B37F5C" w:rsidRDefault="0096450A" w:rsidP="00B37F5C">
      <w:pPr>
        <w:pStyle w:val="Question"/>
      </w:pPr>
      <w:r>
        <w:t xml:space="preserve">Q2. In addition to current government policy, what are the areas of geospatial skills where the </w:t>
      </w:r>
      <w:r w:rsidR="00FF1BBE">
        <w:t>c</w:t>
      </w:r>
      <w:r>
        <w:t>ommission could best focus</w:t>
      </w:r>
      <w:r w:rsidR="00FF1BBE">
        <w:t>,</w:t>
      </w:r>
      <w:r>
        <w:t xml:space="preserve"> to help ensure the necessary capability within the UK for the future?</w:t>
      </w:r>
    </w:p>
    <w:tbl>
      <w:tblPr>
        <w:tblStyle w:val="a2"/>
        <w:tblW w:w="89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F30F60" w14:paraId="107BF902" w14:textId="77777777" w:rsidTr="00B37F5C">
        <w:trPr>
          <w:trHeight w:val="2767"/>
        </w:trPr>
        <w:tc>
          <w:tcPr>
            <w:tcW w:w="8931" w:type="dxa"/>
            <w:shd w:val="clear" w:color="auto" w:fill="auto"/>
            <w:tcMar>
              <w:top w:w="100" w:type="dxa"/>
              <w:left w:w="100" w:type="dxa"/>
              <w:bottom w:w="100" w:type="dxa"/>
              <w:right w:w="100" w:type="dxa"/>
            </w:tcMar>
          </w:tcPr>
          <w:p w14:paraId="40ECEE4D" w14:textId="78B05064" w:rsidR="005277EC" w:rsidRDefault="00E54129" w:rsidP="00CE6A35">
            <w:pPr>
              <w:pStyle w:val="TableText"/>
              <w:rPr>
                <w:lang w:val="en-GB"/>
              </w:rPr>
            </w:pPr>
            <w:r>
              <w:rPr>
                <w:lang w:val="en-GB"/>
              </w:rPr>
              <w:t>Supporting geospatial skill training as a stand-alone activity is not sufficient. These skills need to be developed alongside specialist knowledge of the data in question.</w:t>
            </w:r>
            <w:r w:rsidR="005277EC">
              <w:rPr>
                <w:lang w:val="en-GB"/>
              </w:rPr>
              <w:t xml:space="preserve"> In other words, geospatial data skills need to be taught across many disciplines</w:t>
            </w:r>
            <w:r w:rsidR="00BF100F">
              <w:rPr>
                <w:lang w:val="en-GB"/>
              </w:rPr>
              <w:t>,</w:t>
            </w:r>
            <w:r w:rsidR="005277EC">
              <w:rPr>
                <w:lang w:val="en-GB"/>
              </w:rPr>
              <w:t xml:space="preserve"> as specialist knowledge is required to interpret specialist data.</w:t>
            </w:r>
          </w:p>
          <w:p w14:paraId="254E8518" w14:textId="77777777" w:rsidR="005277EC" w:rsidRDefault="005277EC" w:rsidP="00CE6A35">
            <w:pPr>
              <w:pStyle w:val="TableText"/>
              <w:rPr>
                <w:lang w:val="en-GB"/>
              </w:rPr>
            </w:pPr>
          </w:p>
          <w:p w14:paraId="1D98AC0C" w14:textId="08BC7FEF" w:rsidR="00F30F60" w:rsidRDefault="00E54129" w:rsidP="00CE6A35">
            <w:pPr>
              <w:pStyle w:val="TableText"/>
              <w:rPr>
                <w:lang w:val="en-GB"/>
              </w:rPr>
            </w:pPr>
            <w:r>
              <w:rPr>
                <w:lang w:val="en-GB"/>
              </w:rPr>
              <w:t xml:space="preserve">For example, an analyst of storm surge geospatial data would not be able to make use of the data to better protect UK’s coastal towns and cities without </w:t>
            </w:r>
            <w:proofErr w:type="spellStart"/>
            <w:r>
              <w:rPr>
                <w:lang w:val="en-GB"/>
              </w:rPr>
              <w:t>indepth</w:t>
            </w:r>
            <w:proofErr w:type="spellEnd"/>
            <w:r>
              <w:rPr>
                <w:lang w:val="en-GB"/>
              </w:rPr>
              <w:t xml:space="preserve"> knowledge of the interaction between tides, currents, waves and weather (ocean science).</w:t>
            </w:r>
            <w:r w:rsidR="005277EC">
              <w:rPr>
                <w:lang w:val="en-GB"/>
              </w:rPr>
              <w:t xml:space="preserve"> </w:t>
            </w:r>
          </w:p>
          <w:p w14:paraId="3AD04038" w14:textId="5594F151" w:rsidR="00E54129" w:rsidRDefault="00E54129" w:rsidP="00CE6A35">
            <w:pPr>
              <w:pStyle w:val="TableText"/>
              <w:rPr>
                <w:lang w:val="en-GB"/>
              </w:rPr>
            </w:pPr>
          </w:p>
          <w:p w14:paraId="4DFA8CBD" w14:textId="57207112" w:rsidR="00E54129" w:rsidRPr="00E54129" w:rsidRDefault="00E54129" w:rsidP="00CE6A35">
            <w:pPr>
              <w:pStyle w:val="TableText"/>
              <w:rPr>
                <w:lang w:val="en-GB"/>
              </w:rPr>
            </w:pPr>
            <w:r>
              <w:rPr>
                <w:lang w:val="en-GB"/>
              </w:rPr>
              <w:t>With this in mind, any training developed by the commission should be modular in nature and developed in such a</w:t>
            </w:r>
            <w:r w:rsidR="005277EC">
              <w:rPr>
                <w:lang w:val="en-GB"/>
              </w:rPr>
              <w:t xml:space="preserve"> way that it can be easily embed</w:t>
            </w:r>
            <w:r>
              <w:rPr>
                <w:lang w:val="en-GB"/>
              </w:rPr>
              <w:t>ded in relevant degree courses.</w:t>
            </w:r>
          </w:p>
          <w:p w14:paraId="050D17DD" w14:textId="77777777" w:rsidR="00F30F60" w:rsidRDefault="00F30F60" w:rsidP="00CE6A35">
            <w:pPr>
              <w:pStyle w:val="TableText"/>
            </w:pPr>
          </w:p>
          <w:p w14:paraId="6259220B" w14:textId="2666A539" w:rsidR="00F30F60" w:rsidRPr="005277EC" w:rsidRDefault="005277EC" w:rsidP="005277EC">
            <w:pPr>
              <w:pStyle w:val="TableText"/>
              <w:rPr>
                <w:lang w:val="en-GB"/>
              </w:rPr>
            </w:pPr>
            <w:r>
              <w:rPr>
                <w:lang w:val="en-GB"/>
              </w:rPr>
              <w:t xml:space="preserve">Marine science is multidisciplinary in nature and so this sort of modular approach is relatively common. </w:t>
            </w:r>
            <w:r w:rsidR="00BF100F">
              <w:rPr>
                <w:lang w:val="en-GB"/>
              </w:rPr>
              <w:t xml:space="preserve"> </w:t>
            </w:r>
          </w:p>
        </w:tc>
      </w:tr>
    </w:tbl>
    <w:p w14:paraId="7F0C829C" w14:textId="77777777" w:rsidR="00F30F60" w:rsidRDefault="00F30F60">
      <w:pPr>
        <w:pStyle w:val="Normal1"/>
        <w:contextualSpacing w:val="0"/>
        <w:rPr>
          <w:b/>
          <w:sz w:val="24"/>
          <w:szCs w:val="24"/>
        </w:rPr>
      </w:pPr>
    </w:p>
    <w:p w14:paraId="653719C8" w14:textId="45F2F6F4" w:rsidR="00F30F60" w:rsidRPr="002E1FED" w:rsidRDefault="0096450A" w:rsidP="002E1FED">
      <w:pPr>
        <w:pStyle w:val="Question"/>
      </w:pPr>
      <w:r>
        <w:t>Q3. What are the geospatial skills needs and gaps in your organ</w:t>
      </w:r>
      <w:r w:rsidR="00FF1BBE">
        <w:t xml:space="preserve">isations, how can these be most </w:t>
      </w:r>
      <w:r>
        <w:t>effectively addressed, and how can careers in the sector be best promoted?</w:t>
      </w:r>
    </w:p>
    <w:tbl>
      <w:tblPr>
        <w:tblStyle w:val="a3"/>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507D02D0" w14:textId="77777777" w:rsidTr="003335EF">
        <w:trPr>
          <w:trHeight w:val="2835"/>
        </w:trPr>
        <w:tc>
          <w:tcPr>
            <w:tcW w:w="8929" w:type="dxa"/>
            <w:shd w:val="clear" w:color="auto" w:fill="auto"/>
            <w:tcMar>
              <w:top w:w="100" w:type="dxa"/>
              <w:left w:w="100" w:type="dxa"/>
              <w:bottom w:w="100" w:type="dxa"/>
              <w:right w:w="100" w:type="dxa"/>
            </w:tcMar>
          </w:tcPr>
          <w:p w14:paraId="100A4923" w14:textId="424FABBB" w:rsidR="00C67904" w:rsidRDefault="00E25718" w:rsidP="00CE6A35">
            <w:pPr>
              <w:pStyle w:val="TableText"/>
              <w:rPr>
                <w:lang w:val="en-GB"/>
              </w:rPr>
            </w:pPr>
            <w:r>
              <w:rPr>
                <w:lang w:val="en-GB"/>
              </w:rPr>
              <w:t xml:space="preserve">In ocean science there is a divergence between the tools for geospatial analysis taught by universities and those most commonly used in jobs in the commercial </w:t>
            </w:r>
            <w:r w:rsidR="008122E8">
              <w:rPr>
                <w:lang w:val="en-GB"/>
              </w:rPr>
              <w:t xml:space="preserve">and public </w:t>
            </w:r>
            <w:proofErr w:type="gramStart"/>
            <w:r w:rsidR="008122E8">
              <w:rPr>
                <w:lang w:val="en-GB"/>
              </w:rPr>
              <w:t>sectors</w:t>
            </w:r>
            <w:r w:rsidR="00C67904">
              <w:rPr>
                <w:lang w:val="en-GB"/>
              </w:rPr>
              <w:t>.</w:t>
            </w:r>
            <w:proofErr w:type="gramEnd"/>
            <w:r w:rsidR="00C67904">
              <w:rPr>
                <w:lang w:val="en-GB"/>
              </w:rPr>
              <w:t xml:space="preserve"> </w:t>
            </w:r>
            <w:r>
              <w:rPr>
                <w:lang w:val="en-GB"/>
              </w:rPr>
              <w:t>G</w:t>
            </w:r>
            <w:r w:rsidR="008122E8">
              <w:rPr>
                <w:lang w:val="en-GB"/>
              </w:rPr>
              <w:t xml:space="preserve">eographic </w:t>
            </w:r>
            <w:r>
              <w:rPr>
                <w:lang w:val="en-GB"/>
              </w:rPr>
              <w:t>I</w:t>
            </w:r>
            <w:r w:rsidR="008122E8">
              <w:rPr>
                <w:lang w:val="en-GB"/>
              </w:rPr>
              <w:t xml:space="preserve">nformation </w:t>
            </w:r>
            <w:r>
              <w:rPr>
                <w:lang w:val="en-GB"/>
              </w:rPr>
              <w:t>S</w:t>
            </w:r>
            <w:r w:rsidR="008122E8">
              <w:rPr>
                <w:lang w:val="en-GB"/>
              </w:rPr>
              <w:t>ystem (GIS</w:t>
            </w:r>
            <w:r>
              <w:rPr>
                <w:lang w:val="en-GB"/>
              </w:rPr>
              <w:t>)</w:t>
            </w:r>
            <w:r w:rsidR="00C67904">
              <w:rPr>
                <w:lang w:val="en-GB"/>
              </w:rPr>
              <w:t xml:space="preserve"> tools are commonly used for mapping terrestrial parameters and are also useful for mapping seabed features and habitats. However, these tools are not commonly taught in marine science courses as they are not </w:t>
            </w:r>
            <w:r w:rsidR="007B2B32">
              <w:rPr>
                <w:lang w:val="en-GB"/>
              </w:rPr>
              <w:t>often</w:t>
            </w:r>
            <w:r w:rsidR="00C67904">
              <w:rPr>
                <w:lang w:val="en-GB"/>
              </w:rPr>
              <w:t xml:space="preserve"> appropriate for the marine environment. </w:t>
            </w:r>
          </w:p>
          <w:p w14:paraId="2BD611DB" w14:textId="77777777" w:rsidR="00C67904" w:rsidRDefault="00C67904" w:rsidP="00CE6A35">
            <w:pPr>
              <w:pStyle w:val="TableText"/>
              <w:rPr>
                <w:lang w:val="en-GB"/>
              </w:rPr>
            </w:pPr>
          </w:p>
          <w:p w14:paraId="0DD65F6E" w14:textId="77777777" w:rsidR="00F30F60" w:rsidRDefault="00C67904" w:rsidP="007B2B32">
            <w:pPr>
              <w:pStyle w:val="TableText"/>
              <w:rPr>
                <w:lang w:val="en-GB"/>
              </w:rPr>
            </w:pPr>
            <w:r>
              <w:rPr>
                <w:lang w:val="en-GB"/>
              </w:rPr>
              <w:t xml:space="preserve">There are unique aspects to the marine environment that require marine specific approaches.  </w:t>
            </w:r>
            <w:r w:rsidR="00E25718">
              <w:rPr>
                <w:lang w:val="en-GB"/>
              </w:rPr>
              <w:t xml:space="preserve">GIS does not easily lend itself to </w:t>
            </w:r>
            <w:r w:rsidR="008122E8">
              <w:rPr>
                <w:lang w:val="en-GB"/>
              </w:rPr>
              <w:t xml:space="preserve">analysing or visualising </w:t>
            </w:r>
            <w:r w:rsidR="00E25718">
              <w:rPr>
                <w:lang w:val="en-GB"/>
              </w:rPr>
              <w:t xml:space="preserve">the full depth ocean environment, </w:t>
            </w:r>
            <w:r>
              <w:rPr>
                <w:lang w:val="en-GB"/>
              </w:rPr>
              <w:t>which</w:t>
            </w:r>
            <w:r w:rsidR="00BF100F">
              <w:rPr>
                <w:lang w:val="en-GB"/>
              </w:rPr>
              <w:t>,</w:t>
            </w:r>
            <w:r>
              <w:rPr>
                <w:lang w:val="en-GB"/>
              </w:rPr>
              <w:t xml:space="preserve"> as it is </w:t>
            </w:r>
            <w:r w:rsidR="00E25718">
              <w:rPr>
                <w:lang w:val="en-GB"/>
              </w:rPr>
              <w:t>constantly changing in time</w:t>
            </w:r>
            <w:r w:rsidR="00BF100F">
              <w:rPr>
                <w:lang w:val="en-GB"/>
              </w:rPr>
              <w:t>,</w:t>
            </w:r>
            <w:r>
              <w:rPr>
                <w:lang w:val="en-GB"/>
              </w:rPr>
              <w:t xml:space="preserve"> becomes a 4-dimensional problem</w:t>
            </w:r>
            <w:r w:rsidR="00E25718">
              <w:rPr>
                <w:lang w:val="en-GB"/>
              </w:rPr>
              <w:t xml:space="preserve">. </w:t>
            </w:r>
            <w:r>
              <w:rPr>
                <w:lang w:val="en-GB"/>
              </w:rPr>
              <w:t>The oceans or indeed many of the species that live in them do not stay still and so do not lend themselves to being mapped in 2-</w:t>
            </w:r>
            <w:r>
              <w:rPr>
                <w:lang w:val="en-GB"/>
              </w:rPr>
              <w:lastRenderedPageBreak/>
              <w:t>dimensions.</w:t>
            </w:r>
          </w:p>
          <w:p w14:paraId="50A603DA" w14:textId="77777777" w:rsidR="00BF100F" w:rsidRDefault="00BF100F" w:rsidP="007B2B32">
            <w:pPr>
              <w:pStyle w:val="TableText"/>
              <w:rPr>
                <w:lang w:val="en-GB"/>
              </w:rPr>
            </w:pPr>
          </w:p>
          <w:p w14:paraId="1D6BED58" w14:textId="0D60ABA8" w:rsidR="00BF100F" w:rsidRPr="007B2B32" w:rsidRDefault="00BF100F" w:rsidP="007B2B32">
            <w:pPr>
              <w:pStyle w:val="TableText"/>
              <w:rPr>
                <w:lang w:val="en-GB"/>
              </w:rPr>
            </w:pPr>
          </w:p>
        </w:tc>
      </w:tr>
    </w:tbl>
    <w:p w14:paraId="66E1C817" w14:textId="77777777" w:rsidR="00F30F60" w:rsidRDefault="00F30F60">
      <w:pPr>
        <w:pStyle w:val="Normal1"/>
        <w:contextualSpacing w:val="0"/>
        <w:rPr>
          <w:b/>
          <w:sz w:val="24"/>
          <w:szCs w:val="24"/>
        </w:rPr>
      </w:pPr>
    </w:p>
    <w:p w14:paraId="63F67CE0" w14:textId="115DEABB" w:rsidR="00BA6C48" w:rsidRPr="00BA6C48" w:rsidRDefault="0096450A" w:rsidP="00BA6C48">
      <w:pPr>
        <w:pStyle w:val="Question"/>
      </w:pPr>
      <w:r>
        <w:t>Q4. Are there any</w:t>
      </w:r>
      <w:r w:rsidR="00FF1BBE">
        <w:t xml:space="preserve"> publicly or privately-</w:t>
      </w:r>
      <w:r>
        <w:t>held geospatial datasets that are current</w:t>
      </w:r>
      <w:r w:rsidR="00FF1BBE">
        <w:t>ly challenging to access or use</w:t>
      </w:r>
      <w:r>
        <w:t xml:space="preserve"> or of insufficient quality</w:t>
      </w:r>
      <w:r w:rsidR="00FF1BBE">
        <w:t>,</w:t>
      </w:r>
      <w:r>
        <w:t xml:space="preserve"> but which you or your organisation would find valuable if these issues could be resolved? Please explain why this would be of value, and how access/quality could be improved?</w:t>
      </w:r>
    </w:p>
    <w:tbl>
      <w:tblPr>
        <w:tblStyle w:val="a4"/>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30C0DC4E" w14:textId="77777777" w:rsidTr="003335EF">
        <w:trPr>
          <w:trHeight w:val="2835"/>
        </w:trPr>
        <w:tc>
          <w:tcPr>
            <w:tcW w:w="8929" w:type="dxa"/>
            <w:shd w:val="clear" w:color="auto" w:fill="auto"/>
            <w:tcMar>
              <w:top w:w="100" w:type="dxa"/>
              <w:left w:w="100" w:type="dxa"/>
              <w:bottom w:w="100" w:type="dxa"/>
              <w:right w:w="100" w:type="dxa"/>
            </w:tcMar>
          </w:tcPr>
          <w:p w14:paraId="3BE87976" w14:textId="0A80893A" w:rsidR="00F30F60" w:rsidRDefault="009A3EDC" w:rsidP="00BA6C48">
            <w:pPr>
              <w:pStyle w:val="TableText"/>
              <w:rPr>
                <w:lang w:val="en-GB"/>
              </w:rPr>
            </w:pPr>
            <w:r>
              <w:rPr>
                <w:lang w:val="en-GB"/>
              </w:rPr>
              <w:t xml:space="preserve">MEDIN provides access to over </w:t>
            </w:r>
            <w:r w:rsidR="0060477A">
              <w:rPr>
                <w:lang w:val="en-GB"/>
              </w:rPr>
              <w:t>220 TB of marine data</w:t>
            </w:r>
            <w:r>
              <w:rPr>
                <w:lang w:val="en-GB"/>
              </w:rPr>
              <w:t xml:space="preserve"> owned or managed by over 500 difference </w:t>
            </w:r>
            <w:proofErr w:type="spellStart"/>
            <w:r>
              <w:rPr>
                <w:lang w:val="en-GB"/>
              </w:rPr>
              <w:t>organsations</w:t>
            </w:r>
            <w:proofErr w:type="spellEnd"/>
            <w:r>
              <w:rPr>
                <w:lang w:val="en-GB"/>
              </w:rPr>
              <w:t>. For the past 10 years, MEDIN has been working with the UK marine community to increase access</w:t>
            </w:r>
            <w:r w:rsidR="00EB5CD7">
              <w:rPr>
                <w:lang w:val="en-GB"/>
              </w:rPr>
              <w:t xml:space="preserve"> to marine environmental data from both the public and private sectors.</w:t>
            </w:r>
          </w:p>
          <w:p w14:paraId="4E2274B4" w14:textId="48519E21" w:rsidR="00EB5CD7" w:rsidRDefault="00EB5CD7" w:rsidP="00BA6C48">
            <w:pPr>
              <w:pStyle w:val="TableText"/>
              <w:rPr>
                <w:lang w:val="en-GB"/>
              </w:rPr>
            </w:pPr>
          </w:p>
          <w:p w14:paraId="7E2C3798" w14:textId="35B1F524" w:rsidR="00EB5CD7" w:rsidRDefault="00EB5CD7" w:rsidP="00BA6C48">
            <w:pPr>
              <w:pStyle w:val="TableText"/>
              <w:rPr>
                <w:lang w:val="en-GB"/>
              </w:rPr>
            </w:pPr>
            <w:r>
              <w:rPr>
                <w:lang w:val="en-GB"/>
              </w:rPr>
              <w:t xml:space="preserve">A significant portion of the public sector data are available under Open Government License. </w:t>
            </w:r>
          </w:p>
          <w:p w14:paraId="2E2A0A41" w14:textId="1ADE97BC" w:rsidR="00EB5CD7" w:rsidRDefault="00EB5CD7" w:rsidP="00BA6C48">
            <w:pPr>
              <w:pStyle w:val="TableText"/>
              <w:rPr>
                <w:lang w:val="en-GB"/>
              </w:rPr>
            </w:pPr>
          </w:p>
          <w:p w14:paraId="420645CB" w14:textId="08E58B03" w:rsidR="00EB5CD7" w:rsidRDefault="00EB5CD7" w:rsidP="00EB5CD7">
            <w:pPr>
              <w:pStyle w:val="TableText"/>
              <w:rPr>
                <w:lang w:val="en-GB"/>
              </w:rPr>
            </w:pPr>
            <w:r>
              <w:rPr>
                <w:lang w:val="en-GB"/>
              </w:rPr>
              <w:t xml:space="preserve">Data from </w:t>
            </w:r>
            <w:r w:rsidR="00FC16C8">
              <w:rPr>
                <w:lang w:val="en-GB"/>
              </w:rPr>
              <w:t xml:space="preserve">long </w:t>
            </w:r>
            <w:r>
              <w:rPr>
                <w:lang w:val="en-GB"/>
              </w:rPr>
              <w:t>established commercial sectors</w:t>
            </w:r>
            <w:r w:rsidR="00FC16C8">
              <w:rPr>
                <w:lang w:val="en-GB"/>
              </w:rPr>
              <w:t>, such as the oil and gas industry</w:t>
            </w:r>
            <w:proofErr w:type="gramStart"/>
            <w:r w:rsidR="00FC16C8">
              <w:rPr>
                <w:lang w:val="en-GB"/>
              </w:rPr>
              <w:t>,  have</w:t>
            </w:r>
            <w:proofErr w:type="gramEnd"/>
            <w:r>
              <w:rPr>
                <w:lang w:val="en-GB"/>
              </w:rPr>
              <w:t xml:space="preserve"> traditionally been the hardest to gain open access to</w:t>
            </w:r>
            <w:r w:rsidR="00FC16C8">
              <w:rPr>
                <w:lang w:val="en-GB"/>
              </w:rPr>
              <w:t>.</w:t>
            </w:r>
            <w:r>
              <w:rPr>
                <w:lang w:val="en-GB"/>
              </w:rPr>
              <w:t xml:space="preserve"> However, recent changes to legislation should change this. </w:t>
            </w:r>
          </w:p>
          <w:p w14:paraId="2E5510F5" w14:textId="77777777" w:rsidR="00EB5CD7" w:rsidRPr="009A3EDC" w:rsidRDefault="00EB5CD7" w:rsidP="00EB5CD7">
            <w:pPr>
              <w:pStyle w:val="TableText"/>
              <w:rPr>
                <w:lang w:val="en-GB"/>
              </w:rPr>
            </w:pPr>
          </w:p>
          <w:p w14:paraId="726B80CF" w14:textId="77C78F23" w:rsidR="00EB5CD7" w:rsidRDefault="00EB5CD7" w:rsidP="00BA6C48">
            <w:pPr>
              <w:pStyle w:val="TableText"/>
              <w:rPr>
                <w:lang w:val="en-GB"/>
              </w:rPr>
            </w:pPr>
            <w:r>
              <w:rPr>
                <w:lang w:val="en-GB"/>
              </w:rPr>
              <w:t>In contrast, new</w:t>
            </w:r>
            <w:r w:rsidR="00FC16C8">
              <w:rPr>
                <w:lang w:val="en-GB"/>
              </w:rPr>
              <w:t>er commercial marine industries,</w:t>
            </w:r>
            <w:r>
              <w:rPr>
                <w:lang w:val="en-GB"/>
              </w:rPr>
              <w:t xml:space="preserve"> such as </w:t>
            </w:r>
            <w:r w:rsidR="00FC16C8">
              <w:rPr>
                <w:lang w:val="en-GB"/>
              </w:rPr>
              <w:t xml:space="preserve">the </w:t>
            </w:r>
            <w:r>
              <w:rPr>
                <w:lang w:val="en-GB"/>
              </w:rPr>
              <w:t>offshore renewable energy</w:t>
            </w:r>
            <w:r w:rsidR="00FC16C8">
              <w:rPr>
                <w:lang w:val="en-GB"/>
              </w:rPr>
              <w:t xml:space="preserve"> sector</w:t>
            </w:r>
            <w:r>
              <w:rPr>
                <w:lang w:val="en-GB"/>
              </w:rPr>
              <w:t xml:space="preserve">, </w:t>
            </w:r>
            <w:r w:rsidR="001E1519">
              <w:rPr>
                <w:lang w:val="en-GB"/>
              </w:rPr>
              <w:t>make</w:t>
            </w:r>
            <w:r>
              <w:rPr>
                <w:lang w:val="en-GB"/>
              </w:rPr>
              <w:t xml:space="preserve"> the majority of </w:t>
            </w:r>
            <w:r w:rsidR="00FC16C8">
              <w:rPr>
                <w:lang w:val="en-GB"/>
              </w:rPr>
              <w:t xml:space="preserve">their marine </w:t>
            </w:r>
            <w:r>
              <w:rPr>
                <w:lang w:val="en-GB"/>
              </w:rPr>
              <w:t>environmental data a</w:t>
            </w:r>
            <w:r w:rsidR="00FC16C8">
              <w:rPr>
                <w:lang w:val="en-GB"/>
              </w:rPr>
              <w:t>ccessible</w:t>
            </w:r>
            <w:r w:rsidR="001E1519">
              <w:rPr>
                <w:lang w:val="en-GB"/>
              </w:rPr>
              <w:t>, thanks to a data clause included in The C</w:t>
            </w:r>
            <w:r w:rsidR="00FC16C8">
              <w:rPr>
                <w:lang w:val="en-GB"/>
              </w:rPr>
              <w:t>rown Estate’s tenancy agreement</w:t>
            </w:r>
            <w:r>
              <w:rPr>
                <w:lang w:val="en-GB"/>
              </w:rPr>
              <w:t>.</w:t>
            </w:r>
          </w:p>
          <w:p w14:paraId="60888665" w14:textId="77777777" w:rsidR="00F30F60" w:rsidRDefault="00F30F60" w:rsidP="00BA6C48">
            <w:pPr>
              <w:pStyle w:val="TableText"/>
            </w:pPr>
          </w:p>
          <w:p w14:paraId="7098CB6C"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71D06FBA" w14:textId="77777777" w:rsidR="00F30F60" w:rsidRDefault="00F30F60">
      <w:pPr>
        <w:pStyle w:val="Normal1"/>
        <w:contextualSpacing w:val="0"/>
        <w:rPr>
          <w:b/>
          <w:sz w:val="24"/>
          <w:szCs w:val="24"/>
        </w:rPr>
      </w:pPr>
    </w:p>
    <w:p w14:paraId="5306C10A" w14:textId="7FEF21B6" w:rsidR="00F30F60" w:rsidRPr="0096450A" w:rsidRDefault="0096450A" w:rsidP="0096450A">
      <w:pPr>
        <w:pStyle w:val="Question"/>
      </w:pPr>
      <w:r>
        <w:t>Q5: Do you anticipate that any changes will be needed to the both address data and the wider address ecosystem, to support emerging technologies? Please provide evidence of value to support any proposed changes.</w:t>
      </w:r>
    </w:p>
    <w:tbl>
      <w:tblPr>
        <w:tblStyle w:val="a5"/>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18BDAAB7" w14:textId="77777777" w:rsidTr="003335EF">
        <w:trPr>
          <w:trHeight w:val="2835"/>
        </w:trPr>
        <w:tc>
          <w:tcPr>
            <w:tcW w:w="8929" w:type="dxa"/>
            <w:shd w:val="clear" w:color="auto" w:fill="auto"/>
            <w:tcMar>
              <w:top w:w="100" w:type="dxa"/>
              <w:left w:w="100" w:type="dxa"/>
              <w:bottom w:w="100" w:type="dxa"/>
              <w:right w:w="100" w:type="dxa"/>
            </w:tcMar>
          </w:tcPr>
          <w:p w14:paraId="2E53DA0B" w14:textId="61BF9107" w:rsidR="00930A42" w:rsidRDefault="0060477A" w:rsidP="0096450A">
            <w:pPr>
              <w:pStyle w:val="TableText"/>
              <w:rPr>
                <w:lang w:val="en-GB"/>
              </w:rPr>
            </w:pPr>
            <w:r>
              <w:rPr>
                <w:lang w:val="en-GB"/>
              </w:rPr>
              <w:lastRenderedPageBreak/>
              <w:t>G</w:t>
            </w:r>
            <w:r w:rsidR="00930A42">
              <w:rPr>
                <w:lang w:val="en-GB"/>
              </w:rPr>
              <w:t>eospatial data can be marine as well as terrestrial</w:t>
            </w:r>
            <w:r>
              <w:rPr>
                <w:lang w:val="en-GB"/>
              </w:rPr>
              <w:t xml:space="preserve"> and so the </w:t>
            </w:r>
            <w:r w:rsidR="00FC16C8">
              <w:rPr>
                <w:lang w:val="en-GB"/>
              </w:rPr>
              <w:t>Commission needs to recognise that the</w:t>
            </w:r>
            <w:r>
              <w:rPr>
                <w:lang w:val="en-GB"/>
              </w:rPr>
              <w:t xml:space="preserve"> address data in the question is not always appropriate</w:t>
            </w:r>
            <w:r w:rsidR="00930A42">
              <w:rPr>
                <w:lang w:val="en-GB"/>
              </w:rPr>
              <w:t xml:space="preserve">. </w:t>
            </w:r>
            <w:r w:rsidR="00A364D9">
              <w:rPr>
                <w:lang w:val="en-GB"/>
              </w:rPr>
              <w:t xml:space="preserve">The UK has many structures offshore e.g. oil and gas rigs, wind turbines etc. </w:t>
            </w:r>
            <w:r w:rsidR="00930A42">
              <w:rPr>
                <w:lang w:val="en-GB"/>
              </w:rPr>
              <w:t xml:space="preserve">Marine locations do not, and should not, have post codes. Some datasets span both the terrestrial and marine environment (e.g. aerial monitoring, satellite, intertidal surveys </w:t>
            </w:r>
            <w:proofErr w:type="spellStart"/>
            <w:r w:rsidR="00930A42">
              <w:rPr>
                <w:lang w:val="en-GB"/>
              </w:rPr>
              <w:t>etc</w:t>
            </w:r>
            <w:proofErr w:type="spellEnd"/>
            <w:r w:rsidR="00930A42">
              <w:rPr>
                <w:lang w:val="en-GB"/>
              </w:rPr>
              <w:t xml:space="preserve">). Address systems (positional </w:t>
            </w:r>
            <w:proofErr w:type="spellStart"/>
            <w:r w:rsidR="00930A42">
              <w:rPr>
                <w:lang w:val="en-GB"/>
              </w:rPr>
              <w:t>idendification</w:t>
            </w:r>
            <w:proofErr w:type="spellEnd"/>
            <w:r w:rsidR="00930A42">
              <w:rPr>
                <w:lang w:val="en-GB"/>
              </w:rPr>
              <w:t xml:space="preserve"> systems) need to be applicable to both land and sea. Changing address system at the coast is not useful in these situations. Latitude and Longitude, provided with the appropriate coordinate reference system is suitable.</w:t>
            </w:r>
          </w:p>
          <w:p w14:paraId="6E09499C" w14:textId="77777777" w:rsidR="00930A42" w:rsidRDefault="00930A42" w:rsidP="0096450A">
            <w:pPr>
              <w:pStyle w:val="TableText"/>
              <w:rPr>
                <w:lang w:val="en-GB"/>
              </w:rPr>
            </w:pPr>
          </w:p>
          <w:p w14:paraId="3F5DEEB6" w14:textId="77777777" w:rsidR="00F30F60" w:rsidRDefault="00F30F60" w:rsidP="0096450A">
            <w:pPr>
              <w:pStyle w:val="TableText"/>
            </w:pPr>
          </w:p>
          <w:p w14:paraId="119B955C"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35EB0FC4" w14:textId="77777777" w:rsidR="00F30F60" w:rsidRDefault="00F30F60" w:rsidP="0096450A"/>
    <w:p w14:paraId="4AD99D92" w14:textId="71B7399B" w:rsidR="00F30F60" w:rsidRPr="0096450A" w:rsidRDefault="0096450A" w:rsidP="0096450A">
      <w:pPr>
        <w:pStyle w:val="Question"/>
      </w:pPr>
      <w:r>
        <w:t xml:space="preserve">Q6: How should the </w:t>
      </w:r>
      <w:r w:rsidR="00FF1BBE">
        <w:t>c</w:t>
      </w:r>
      <w:r>
        <w:t xml:space="preserve">ommission be looking to develop the UK’s capability in Earth </w:t>
      </w:r>
      <w:r w:rsidR="00FF1BBE">
        <w:t>o</w:t>
      </w:r>
      <w:r>
        <w:t xml:space="preserve">bservation data, both technologically and to support an effective market? </w:t>
      </w:r>
    </w:p>
    <w:tbl>
      <w:tblPr>
        <w:tblStyle w:val="a6"/>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7F88A17F" w14:textId="77777777" w:rsidTr="003335EF">
        <w:trPr>
          <w:trHeight w:val="2835"/>
        </w:trPr>
        <w:tc>
          <w:tcPr>
            <w:tcW w:w="8929" w:type="dxa"/>
            <w:shd w:val="clear" w:color="auto" w:fill="auto"/>
            <w:tcMar>
              <w:top w:w="100" w:type="dxa"/>
              <w:left w:w="100" w:type="dxa"/>
              <w:bottom w:w="100" w:type="dxa"/>
              <w:right w:w="100" w:type="dxa"/>
            </w:tcMar>
          </w:tcPr>
          <w:p w14:paraId="197EBBF0" w14:textId="552DC152" w:rsidR="00F30F60" w:rsidRDefault="0060477A" w:rsidP="0096450A">
            <w:pPr>
              <w:pStyle w:val="TableText"/>
              <w:rPr>
                <w:lang w:val="en-GB"/>
              </w:rPr>
            </w:pPr>
            <w:r>
              <w:rPr>
                <w:lang w:val="en-GB"/>
              </w:rPr>
              <w:t xml:space="preserve">MEDIN </w:t>
            </w:r>
            <w:r w:rsidR="00FC16C8">
              <w:rPr>
                <w:lang w:val="en-GB"/>
              </w:rPr>
              <w:t>advocates the use of a distributed network of specialist data centres. For marine data these are</w:t>
            </w:r>
            <w:r w:rsidR="00BF100F">
              <w:rPr>
                <w:lang w:val="en-GB"/>
              </w:rPr>
              <w:t xml:space="preserve"> currently</w:t>
            </w:r>
            <w:r w:rsidR="00FC16C8">
              <w:rPr>
                <w:lang w:val="en-GB"/>
              </w:rPr>
              <w:t>:</w:t>
            </w:r>
          </w:p>
          <w:p w14:paraId="537FBDBD" w14:textId="77777777" w:rsidR="00FC16C8" w:rsidRDefault="00FC16C8" w:rsidP="00FC16C8">
            <w:pPr>
              <w:pStyle w:val="TableText"/>
              <w:rPr>
                <w:lang w:val="en-GB"/>
              </w:rPr>
            </w:pPr>
          </w:p>
          <w:p w14:paraId="6A55846E" w14:textId="45832719" w:rsidR="00FC16C8" w:rsidRDefault="00FC16C8" w:rsidP="00FC16C8">
            <w:pPr>
              <w:pStyle w:val="TableText"/>
              <w:rPr>
                <w:lang w:val="en-GB"/>
              </w:rPr>
            </w:pPr>
            <w:r>
              <w:rPr>
                <w:lang w:val="en-GB"/>
              </w:rPr>
              <w:t>UK Hydrographic Office (bathymetry data)</w:t>
            </w:r>
          </w:p>
          <w:p w14:paraId="6DC657CF" w14:textId="77777777" w:rsidR="00FC16C8" w:rsidRDefault="00FC16C8" w:rsidP="00FC16C8">
            <w:pPr>
              <w:pStyle w:val="TableText"/>
              <w:rPr>
                <w:lang w:val="en-GB"/>
              </w:rPr>
            </w:pPr>
            <w:r>
              <w:rPr>
                <w:lang w:val="en-GB"/>
              </w:rPr>
              <w:t>British Oceanographic Data Centre (water column oceanography data)</w:t>
            </w:r>
          </w:p>
          <w:p w14:paraId="6D2396F5" w14:textId="77777777" w:rsidR="00FC16C8" w:rsidRDefault="00FC16C8" w:rsidP="00FC16C8">
            <w:pPr>
              <w:pStyle w:val="TableText"/>
              <w:rPr>
                <w:lang w:val="en-GB"/>
              </w:rPr>
            </w:pPr>
            <w:r>
              <w:rPr>
                <w:lang w:val="en-GB"/>
              </w:rPr>
              <w:t>British Geological Survey (marine geology and geophysics data)</w:t>
            </w:r>
          </w:p>
          <w:p w14:paraId="09633177" w14:textId="77777777" w:rsidR="00FC16C8" w:rsidRDefault="00FC16C8" w:rsidP="00FC16C8">
            <w:pPr>
              <w:pStyle w:val="TableText"/>
              <w:rPr>
                <w:lang w:val="en-GB"/>
              </w:rPr>
            </w:pPr>
            <w:r>
              <w:rPr>
                <w:lang w:val="en-GB"/>
              </w:rPr>
              <w:t>Met Office (marine meteorological data)</w:t>
            </w:r>
          </w:p>
          <w:p w14:paraId="3D6D4A78" w14:textId="77777777" w:rsidR="00FC16C8" w:rsidRDefault="00FC16C8" w:rsidP="00FC16C8">
            <w:pPr>
              <w:pStyle w:val="TableText"/>
              <w:rPr>
                <w:lang w:val="en-GB"/>
              </w:rPr>
            </w:pPr>
            <w:r>
              <w:rPr>
                <w:lang w:val="en-GB"/>
              </w:rPr>
              <w:t>DASSH (marine species and habitats data)</w:t>
            </w:r>
          </w:p>
          <w:p w14:paraId="24CEA5D4" w14:textId="77777777" w:rsidR="00FC16C8" w:rsidRDefault="00FC16C8" w:rsidP="00FC16C8">
            <w:pPr>
              <w:pStyle w:val="TableText"/>
              <w:rPr>
                <w:lang w:val="en-GB"/>
              </w:rPr>
            </w:pPr>
            <w:r>
              <w:rPr>
                <w:lang w:val="en-GB"/>
              </w:rPr>
              <w:t>Marine Scotland; Cefas (fisheries data)</w:t>
            </w:r>
          </w:p>
          <w:p w14:paraId="26BC6D64" w14:textId="77777777" w:rsidR="00FC16C8" w:rsidRDefault="00FC16C8" w:rsidP="00FC16C8">
            <w:pPr>
              <w:pStyle w:val="TableText"/>
              <w:rPr>
                <w:lang w:val="en-GB"/>
              </w:rPr>
            </w:pPr>
            <w:r>
              <w:rPr>
                <w:lang w:val="en-GB"/>
              </w:rPr>
              <w:t xml:space="preserve">Archaeology Data Service; Historic Environment Scotland; Royal Commission on the Ancient and Historic </w:t>
            </w:r>
            <w:proofErr w:type="spellStart"/>
            <w:r>
              <w:rPr>
                <w:lang w:val="en-GB"/>
              </w:rPr>
              <w:t>MonumentsWales</w:t>
            </w:r>
            <w:proofErr w:type="spellEnd"/>
            <w:r>
              <w:rPr>
                <w:lang w:val="en-GB"/>
              </w:rPr>
              <w:t xml:space="preserve"> (marine historic environment data) </w:t>
            </w:r>
          </w:p>
          <w:p w14:paraId="0498E9DF" w14:textId="77777777" w:rsidR="00FC16C8" w:rsidRPr="0060477A" w:rsidRDefault="00FC16C8" w:rsidP="0096450A">
            <w:pPr>
              <w:pStyle w:val="TableText"/>
              <w:rPr>
                <w:lang w:val="en-GB"/>
              </w:rPr>
            </w:pPr>
          </w:p>
          <w:p w14:paraId="44561591" w14:textId="14B4FE6E" w:rsidR="00BC347A" w:rsidRPr="00BC347A" w:rsidRDefault="00FC16C8" w:rsidP="0096450A">
            <w:pPr>
              <w:pStyle w:val="TableText"/>
              <w:rPr>
                <w:lang w:val="en-GB"/>
              </w:rPr>
            </w:pPr>
            <w:r>
              <w:rPr>
                <w:lang w:val="en-GB"/>
              </w:rPr>
              <w:t>MEDIN would highly recommend using</w:t>
            </w:r>
            <w:r w:rsidR="00BC347A">
              <w:rPr>
                <w:lang w:val="en-GB"/>
              </w:rPr>
              <w:t xml:space="preserve"> specialist data centres to archive, analyse and </w:t>
            </w:r>
            <w:proofErr w:type="spellStart"/>
            <w:r w:rsidR="00BC347A">
              <w:rPr>
                <w:lang w:val="en-GB"/>
              </w:rPr>
              <w:t>dissemninate</w:t>
            </w:r>
            <w:proofErr w:type="spellEnd"/>
            <w:r w:rsidR="00BC347A">
              <w:rPr>
                <w:lang w:val="en-GB"/>
              </w:rPr>
              <w:t xml:space="preserve"> </w:t>
            </w:r>
            <w:r>
              <w:rPr>
                <w:lang w:val="en-GB"/>
              </w:rPr>
              <w:t>the highly specialised Ear</w:t>
            </w:r>
            <w:r w:rsidR="00BC347A">
              <w:rPr>
                <w:lang w:val="en-GB"/>
              </w:rPr>
              <w:t>th Observation (EO) data. The</w:t>
            </w:r>
            <w:r>
              <w:rPr>
                <w:lang w:val="en-GB"/>
              </w:rPr>
              <w:t xml:space="preserve"> Geospatial Commission sh</w:t>
            </w:r>
            <w:r w:rsidR="00BC347A">
              <w:rPr>
                <w:lang w:val="en-GB"/>
              </w:rPr>
              <w:t xml:space="preserve">ould fund these </w:t>
            </w:r>
            <w:proofErr w:type="spellStart"/>
            <w:r w:rsidR="00BC347A">
              <w:rPr>
                <w:lang w:val="en-GB"/>
              </w:rPr>
              <w:t>activitives</w:t>
            </w:r>
            <w:proofErr w:type="spellEnd"/>
            <w:r w:rsidR="00BC347A">
              <w:rPr>
                <w:lang w:val="en-GB"/>
              </w:rPr>
              <w:t xml:space="preserve"> at a specialist data centre and </w:t>
            </w:r>
            <w:r>
              <w:rPr>
                <w:lang w:val="en-GB"/>
              </w:rPr>
              <w:t xml:space="preserve">then </w:t>
            </w:r>
            <w:r w:rsidR="00BC347A">
              <w:rPr>
                <w:lang w:val="en-GB"/>
              </w:rPr>
              <w:t xml:space="preserve">provide </w:t>
            </w:r>
            <w:r>
              <w:rPr>
                <w:lang w:val="en-GB"/>
              </w:rPr>
              <w:t xml:space="preserve">additional </w:t>
            </w:r>
            <w:r w:rsidR="00BC347A">
              <w:rPr>
                <w:lang w:val="en-GB"/>
              </w:rPr>
              <w:t>training and support to customers wanting to use EO data</w:t>
            </w:r>
            <w:r>
              <w:rPr>
                <w:lang w:val="en-GB"/>
              </w:rPr>
              <w:t xml:space="preserve"> but are lacking the appropriate skills to do so</w:t>
            </w:r>
            <w:r w:rsidR="00BC347A">
              <w:rPr>
                <w:lang w:val="en-GB"/>
              </w:rPr>
              <w:t>.</w:t>
            </w:r>
          </w:p>
          <w:p w14:paraId="51B09D1F"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32B90701" w14:textId="77777777" w:rsidR="0096450A" w:rsidRDefault="0096450A" w:rsidP="0096450A"/>
    <w:p w14:paraId="7F5ABE83" w14:textId="7DA90798" w:rsidR="00F30F60" w:rsidRPr="0096450A" w:rsidRDefault="0096450A" w:rsidP="0096450A">
      <w:pPr>
        <w:pStyle w:val="Question"/>
      </w:pPr>
      <w:r>
        <w:t xml:space="preserve">Q7. Which new technologies should the </w:t>
      </w:r>
      <w:r w:rsidR="00B24893">
        <w:t>c</w:t>
      </w:r>
      <w:r>
        <w:t>ommission focus on to provide new opportunities to process and exploit geospatial data for economic growth?</w:t>
      </w:r>
    </w:p>
    <w:tbl>
      <w:tblPr>
        <w:tblStyle w:val="a7"/>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2B9F8E62" w14:textId="77777777" w:rsidTr="003335EF">
        <w:trPr>
          <w:trHeight w:val="2835"/>
        </w:trPr>
        <w:tc>
          <w:tcPr>
            <w:tcW w:w="8929" w:type="dxa"/>
            <w:shd w:val="clear" w:color="auto" w:fill="auto"/>
            <w:tcMar>
              <w:top w:w="100" w:type="dxa"/>
              <w:left w:w="100" w:type="dxa"/>
              <w:bottom w:w="100" w:type="dxa"/>
              <w:right w:w="100" w:type="dxa"/>
            </w:tcMar>
          </w:tcPr>
          <w:p w14:paraId="3BA10407" w14:textId="7CC72F9A" w:rsidR="004677CC" w:rsidRDefault="001B245C">
            <w:pPr>
              <w:pStyle w:val="Normal1"/>
              <w:widowControl w:val="0"/>
              <w:pBdr>
                <w:top w:val="nil"/>
                <w:left w:val="nil"/>
                <w:bottom w:val="nil"/>
                <w:right w:val="nil"/>
                <w:between w:val="nil"/>
              </w:pBdr>
              <w:spacing w:line="240" w:lineRule="auto"/>
              <w:contextualSpacing w:val="0"/>
              <w:rPr>
                <w:sz w:val="24"/>
                <w:szCs w:val="24"/>
                <w:lang w:val="en-GB"/>
              </w:rPr>
            </w:pPr>
            <w:r>
              <w:rPr>
                <w:sz w:val="24"/>
                <w:szCs w:val="24"/>
                <w:lang w:val="en-GB"/>
              </w:rPr>
              <w:lastRenderedPageBreak/>
              <w:t xml:space="preserve">MEDIN recognises that there is a difference between a dataset and a data product. </w:t>
            </w:r>
            <w:r w:rsidR="004677CC">
              <w:rPr>
                <w:sz w:val="24"/>
                <w:szCs w:val="24"/>
                <w:lang w:val="en-GB"/>
              </w:rPr>
              <w:t>Both of these can be geospatial but the latter has some level of collation, interpolation or interpretation involved that add value to the contri</w:t>
            </w:r>
            <w:r w:rsidR="007B52C8">
              <w:rPr>
                <w:sz w:val="24"/>
                <w:szCs w:val="24"/>
                <w:lang w:val="en-GB"/>
              </w:rPr>
              <w:t>b</w:t>
            </w:r>
            <w:r w:rsidR="004677CC">
              <w:rPr>
                <w:sz w:val="24"/>
                <w:szCs w:val="24"/>
                <w:lang w:val="en-GB"/>
              </w:rPr>
              <w:t xml:space="preserve">uting datasets. </w:t>
            </w:r>
          </w:p>
          <w:p w14:paraId="33069488" w14:textId="7C4BACDC" w:rsidR="007B52C8" w:rsidRDefault="007B52C8" w:rsidP="007B52C8">
            <w:pPr>
              <w:pStyle w:val="Normal1"/>
              <w:widowControl w:val="0"/>
              <w:pBdr>
                <w:top w:val="nil"/>
                <w:left w:val="nil"/>
                <w:bottom w:val="nil"/>
                <w:right w:val="nil"/>
                <w:between w:val="nil"/>
              </w:pBdr>
              <w:spacing w:line="240" w:lineRule="auto"/>
              <w:contextualSpacing w:val="0"/>
              <w:rPr>
                <w:sz w:val="24"/>
                <w:szCs w:val="24"/>
                <w:lang w:val="en-GB"/>
              </w:rPr>
            </w:pPr>
            <w:r>
              <w:rPr>
                <w:sz w:val="24"/>
                <w:szCs w:val="24"/>
                <w:lang w:val="en-GB"/>
              </w:rPr>
              <w:t>MEDIN’s focus is on providing access to marine geospatial datasets.</w:t>
            </w:r>
          </w:p>
          <w:p w14:paraId="0CE5957C" w14:textId="3835068F" w:rsidR="004677CC" w:rsidRDefault="004677CC">
            <w:pPr>
              <w:pStyle w:val="Normal1"/>
              <w:widowControl w:val="0"/>
              <w:pBdr>
                <w:top w:val="nil"/>
                <w:left w:val="nil"/>
                <w:bottom w:val="nil"/>
                <w:right w:val="nil"/>
                <w:between w:val="nil"/>
              </w:pBdr>
              <w:spacing w:line="240" w:lineRule="auto"/>
              <w:contextualSpacing w:val="0"/>
              <w:rPr>
                <w:sz w:val="24"/>
                <w:szCs w:val="24"/>
                <w:lang w:val="en-GB"/>
              </w:rPr>
            </w:pPr>
            <w:bookmarkStart w:id="2" w:name="_GoBack"/>
            <w:bookmarkEnd w:id="2"/>
          </w:p>
          <w:p w14:paraId="574B9D60" w14:textId="42E739CB" w:rsidR="00F30F60" w:rsidRPr="001B245C" w:rsidRDefault="004677CC">
            <w:pPr>
              <w:pStyle w:val="Normal1"/>
              <w:widowControl w:val="0"/>
              <w:pBdr>
                <w:top w:val="nil"/>
                <w:left w:val="nil"/>
                <w:bottom w:val="nil"/>
                <w:right w:val="nil"/>
                <w:between w:val="nil"/>
              </w:pBdr>
              <w:spacing w:line="240" w:lineRule="auto"/>
              <w:contextualSpacing w:val="0"/>
              <w:rPr>
                <w:sz w:val="24"/>
                <w:szCs w:val="24"/>
                <w:lang w:val="en-GB"/>
              </w:rPr>
            </w:pPr>
            <w:r>
              <w:rPr>
                <w:sz w:val="24"/>
                <w:szCs w:val="24"/>
                <w:lang w:val="en-GB"/>
              </w:rPr>
              <w:t xml:space="preserve">  </w:t>
            </w:r>
          </w:p>
          <w:p w14:paraId="0AE15A66"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p w14:paraId="0255AB76"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051322F3" w14:textId="77777777" w:rsidR="00F30F60" w:rsidRDefault="00F30F60">
      <w:pPr>
        <w:pStyle w:val="Normal1"/>
        <w:contextualSpacing w:val="0"/>
        <w:rPr>
          <w:b/>
          <w:sz w:val="24"/>
          <w:szCs w:val="24"/>
        </w:rPr>
      </w:pPr>
    </w:p>
    <w:p w14:paraId="415AAE2E" w14:textId="54E6FC0F" w:rsidR="00F30F60" w:rsidRDefault="0096450A" w:rsidP="00845D80">
      <w:pPr>
        <w:pStyle w:val="Question"/>
      </w:pPr>
      <w:r>
        <w:t>Q8. How can geospatial data and applications be used to support enhanced roll-out of future technologies?</w:t>
      </w:r>
    </w:p>
    <w:tbl>
      <w:tblPr>
        <w:tblStyle w:val="a8"/>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3B1BFD16" w14:textId="77777777" w:rsidTr="003335EF">
        <w:trPr>
          <w:trHeight w:val="2835"/>
        </w:trPr>
        <w:tc>
          <w:tcPr>
            <w:tcW w:w="8929" w:type="dxa"/>
            <w:shd w:val="clear" w:color="auto" w:fill="auto"/>
            <w:tcMar>
              <w:top w:w="100" w:type="dxa"/>
              <w:left w:w="100" w:type="dxa"/>
              <w:bottom w:w="100" w:type="dxa"/>
              <w:right w:w="100" w:type="dxa"/>
            </w:tcMar>
          </w:tcPr>
          <w:p w14:paraId="4ED8FB71" w14:textId="6FF41C0C" w:rsidR="00F30F60" w:rsidRPr="001D3451" w:rsidRDefault="001D3451" w:rsidP="00845D80">
            <w:pPr>
              <w:pStyle w:val="TableText"/>
              <w:rPr>
                <w:lang w:val="en-GB"/>
              </w:rPr>
            </w:pPr>
            <w:r>
              <w:rPr>
                <w:lang w:val="en-GB"/>
              </w:rPr>
              <w:t xml:space="preserve">The ever increasing volume of marine data is driving a need for “Big Data” tools, high volume storage and High Performance Computing. </w:t>
            </w:r>
          </w:p>
          <w:p w14:paraId="75330AFE" w14:textId="77777777" w:rsidR="00F30F60" w:rsidRDefault="00F30F60" w:rsidP="00845D80">
            <w:pPr>
              <w:pStyle w:val="TableText"/>
            </w:pPr>
          </w:p>
          <w:p w14:paraId="4239B686"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27AA5CD3" w14:textId="77777777" w:rsidR="00F30F60" w:rsidRDefault="00F30F60" w:rsidP="00845D80"/>
    <w:p w14:paraId="20F6BC45" w14:textId="478CC9C4" w:rsidR="00F30F60" w:rsidRDefault="0096450A" w:rsidP="00845D80">
      <w:pPr>
        <w:pStyle w:val="Question"/>
      </w:pPr>
      <w:r>
        <w:t>Q9: What</w:t>
      </w:r>
      <w:r w:rsidR="00B24893">
        <w:t xml:space="preserve"> are the options for how public </w:t>
      </w:r>
      <w:r>
        <w:t>sector organisations could continue to invest in maintaining and enhancing our geospatial data assets?</w:t>
      </w:r>
    </w:p>
    <w:tbl>
      <w:tblPr>
        <w:tblStyle w:val="a9"/>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1FBAF1B8" w14:textId="77777777" w:rsidTr="003335EF">
        <w:trPr>
          <w:trHeight w:val="2835"/>
        </w:trPr>
        <w:tc>
          <w:tcPr>
            <w:tcW w:w="8929" w:type="dxa"/>
            <w:shd w:val="clear" w:color="auto" w:fill="auto"/>
            <w:tcMar>
              <w:top w:w="100" w:type="dxa"/>
              <w:left w:w="100" w:type="dxa"/>
              <w:bottom w:w="100" w:type="dxa"/>
              <w:right w:w="100" w:type="dxa"/>
            </w:tcMar>
          </w:tcPr>
          <w:p w14:paraId="5F0A79FD" w14:textId="77777777" w:rsidR="00111F63" w:rsidRDefault="00111F63" w:rsidP="00111F63">
            <w:pPr>
              <w:pStyle w:val="TableText"/>
              <w:rPr>
                <w:lang w:val="en-GB"/>
              </w:rPr>
            </w:pPr>
            <w:r>
              <w:rPr>
                <w:lang w:val="en-GB"/>
              </w:rPr>
              <w:t>MEDIN advocates the use of a distributed network of specialist data centres. For marine data these are:</w:t>
            </w:r>
          </w:p>
          <w:p w14:paraId="2FF6B514" w14:textId="77777777" w:rsidR="00111F63" w:rsidRDefault="00111F63" w:rsidP="00111F63">
            <w:pPr>
              <w:pStyle w:val="TableText"/>
              <w:rPr>
                <w:lang w:val="en-GB"/>
              </w:rPr>
            </w:pPr>
          </w:p>
          <w:p w14:paraId="268D95C3" w14:textId="77777777" w:rsidR="00111F63" w:rsidRDefault="00111F63" w:rsidP="00111F63">
            <w:pPr>
              <w:pStyle w:val="TableText"/>
              <w:rPr>
                <w:lang w:val="en-GB"/>
              </w:rPr>
            </w:pPr>
            <w:r>
              <w:rPr>
                <w:lang w:val="en-GB"/>
              </w:rPr>
              <w:t>UK Hydrographic Office (bathymetry data)</w:t>
            </w:r>
          </w:p>
          <w:p w14:paraId="20B716FC" w14:textId="77777777" w:rsidR="00111F63" w:rsidRDefault="00111F63" w:rsidP="00111F63">
            <w:pPr>
              <w:pStyle w:val="TableText"/>
              <w:rPr>
                <w:lang w:val="en-GB"/>
              </w:rPr>
            </w:pPr>
            <w:r>
              <w:rPr>
                <w:lang w:val="en-GB"/>
              </w:rPr>
              <w:t>British Oceanographic Data Centre (water column oceanography data)</w:t>
            </w:r>
          </w:p>
          <w:p w14:paraId="2AF97D6B" w14:textId="77777777" w:rsidR="00111F63" w:rsidRDefault="00111F63" w:rsidP="00111F63">
            <w:pPr>
              <w:pStyle w:val="TableText"/>
              <w:rPr>
                <w:lang w:val="en-GB"/>
              </w:rPr>
            </w:pPr>
            <w:r>
              <w:rPr>
                <w:lang w:val="en-GB"/>
              </w:rPr>
              <w:t>British Geological Survey (marine geology and geophysics data)</w:t>
            </w:r>
          </w:p>
          <w:p w14:paraId="404D2A5E" w14:textId="77777777" w:rsidR="00111F63" w:rsidRDefault="00111F63" w:rsidP="00111F63">
            <w:pPr>
              <w:pStyle w:val="TableText"/>
              <w:rPr>
                <w:lang w:val="en-GB"/>
              </w:rPr>
            </w:pPr>
            <w:r>
              <w:rPr>
                <w:lang w:val="en-GB"/>
              </w:rPr>
              <w:t>Met Office (marine meteorological data)</w:t>
            </w:r>
          </w:p>
          <w:p w14:paraId="6B5F3056" w14:textId="77777777" w:rsidR="00111F63" w:rsidRDefault="00111F63" w:rsidP="00111F63">
            <w:pPr>
              <w:pStyle w:val="TableText"/>
              <w:rPr>
                <w:lang w:val="en-GB"/>
              </w:rPr>
            </w:pPr>
            <w:r>
              <w:rPr>
                <w:lang w:val="en-GB"/>
              </w:rPr>
              <w:t>DASSH (marine species and habitats data)</w:t>
            </w:r>
          </w:p>
          <w:p w14:paraId="3DCE4B6D" w14:textId="77777777" w:rsidR="00111F63" w:rsidRDefault="00111F63" w:rsidP="00111F63">
            <w:pPr>
              <w:pStyle w:val="TableText"/>
              <w:rPr>
                <w:lang w:val="en-GB"/>
              </w:rPr>
            </w:pPr>
            <w:r>
              <w:rPr>
                <w:lang w:val="en-GB"/>
              </w:rPr>
              <w:t>Marine Scotland; Cefas (fisheries data)</w:t>
            </w:r>
          </w:p>
          <w:p w14:paraId="2E307BED" w14:textId="77777777" w:rsidR="00111F63" w:rsidRDefault="00111F63" w:rsidP="00111F63">
            <w:pPr>
              <w:pStyle w:val="TableText"/>
              <w:rPr>
                <w:lang w:val="en-GB"/>
              </w:rPr>
            </w:pPr>
            <w:r>
              <w:rPr>
                <w:lang w:val="en-GB"/>
              </w:rPr>
              <w:t xml:space="preserve">Archaeology Data Service; Historic Environment Scotland; Royal Commission on the Ancient and Historic </w:t>
            </w:r>
            <w:proofErr w:type="spellStart"/>
            <w:r>
              <w:rPr>
                <w:lang w:val="en-GB"/>
              </w:rPr>
              <w:t>MonumentsWales</w:t>
            </w:r>
            <w:proofErr w:type="spellEnd"/>
            <w:r>
              <w:rPr>
                <w:lang w:val="en-GB"/>
              </w:rPr>
              <w:t xml:space="preserve"> (marine historic environment data) </w:t>
            </w:r>
          </w:p>
          <w:p w14:paraId="34A16168" w14:textId="2CE4D879" w:rsidR="00F30F60" w:rsidRDefault="00F30F60" w:rsidP="00845D80">
            <w:pPr>
              <w:pStyle w:val="TableText"/>
            </w:pPr>
          </w:p>
          <w:p w14:paraId="2E22B16B" w14:textId="52DFB939" w:rsidR="00F30F60" w:rsidRDefault="00111F63" w:rsidP="00845D80">
            <w:pPr>
              <w:pStyle w:val="TableText"/>
              <w:rPr>
                <w:lang w:val="en-GB"/>
              </w:rPr>
            </w:pPr>
            <w:r>
              <w:rPr>
                <w:lang w:val="en-GB"/>
              </w:rPr>
              <w:t xml:space="preserve">MEDIN strongly advocates that public sector </w:t>
            </w:r>
            <w:r w:rsidR="00D64D00">
              <w:rPr>
                <w:lang w:val="en-GB"/>
              </w:rPr>
              <w:t>data are archived at specialist data centres</w:t>
            </w:r>
            <w:r>
              <w:rPr>
                <w:lang w:val="en-GB"/>
              </w:rPr>
              <w:t>,</w:t>
            </w:r>
            <w:r w:rsidR="00D64D00">
              <w:rPr>
                <w:lang w:val="en-GB"/>
              </w:rPr>
              <w:t xml:space="preserve"> that will provide long-ter</w:t>
            </w:r>
            <w:r w:rsidR="00B83B14">
              <w:rPr>
                <w:lang w:val="en-GB"/>
              </w:rPr>
              <w:t>m</w:t>
            </w:r>
            <w:r w:rsidR="00D64D00">
              <w:rPr>
                <w:lang w:val="en-GB"/>
              </w:rPr>
              <w:t xml:space="preserve"> access </w:t>
            </w:r>
            <w:r>
              <w:rPr>
                <w:lang w:val="en-GB"/>
              </w:rPr>
              <w:t xml:space="preserve">to that data alongside the </w:t>
            </w:r>
            <w:r w:rsidR="00D64D00">
              <w:rPr>
                <w:lang w:val="en-GB"/>
              </w:rPr>
              <w:t>specialis</w:t>
            </w:r>
            <w:r>
              <w:rPr>
                <w:lang w:val="en-GB"/>
              </w:rPr>
              <w:t xml:space="preserve">t knowledge needed. </w:t>
            </w:r>
            <w:proofErr w:type="gramStart"/>
            <w:r>
              <w:rPr>
                <w:lang w:val="en-GB"/>
              </w:rPr>
              <w:t>In  general</w:t>
            </w:r>
            <w:proofErr w:type="gramEnd"/>
            <w:r>
              <w:rPr>
                <w:lang w:val="en-GB"/>
              </w:rPr>
              <w:t>, public sector data should be made available under an open license such as the Open Government License.</w:t>
            </w:r>
          </w:p>
          <w:p w14:paraId="501CD9E5" w14:textId="77777777" w:rsidR="00111F63" w:rsidRDefault="00111F63" w:rsidP="00845D80">
            <w:pPr>
              <w:pStyle w:val="TableText"/>
              <w:rPr>
                <w:lang w:val="en-GB"/>
              </w:rPr>
            </w:pPr>
          </w:p>
          <w:p w14:paraId="06685B45" w14:textId="52349009" w:rsidR="00D64D00" w:rsidRPr="00D64D00" w:rsidRDefault="00111F63" w:rsidP="00845D80">
            <w:pPr>
              <w:pStyle w:val="TableText"/>
              <w:rPr>
                <w:lang w:val="en-GB"/>
              </w:rPr>
            </w:pPr>
            <w:r>
              <w:rPr>
                <w:lang w:val="en-GB"/>
              </w:rPr>
              <w:t>In order to ensure this happens, MEDIN recommends the Geospatial Commission e</w:t>
            </w:r>
            <w:r w:rsidR="00D64D00">
              <w:rPr>
                <w:lang w:val="en-GB"/>
              </w:rPr>
              <w:t>nsure</w:t>
            </w:r>
            <w:r>
              <w:rPr>
                <w:lang w:val="en-GB"/>
              </w:rPr>
              <w:t>s</w:t>
            </w:r>
            <w:r w:rsidR="00D64D00">
              <w:rPr>
                <w:lang w:val="en-GB"/>
              </w:rPr>
              <w:t xml:space="preserve"> all </w:t>
            </w:r>
            <w:r>
              <w:rPr>
                <w:lang w:val="en-GB"/>
              </w:rPr>
              <w:t xml:space="preserve">public sector </w:t>
            </w:r>
            <w:r w:rsidR="00D64D00">
              <w:rPr>
                <w:lang w:val="en-GB"/>
              </w:rPr>
              <w:t xml:space="preserve">data </w:t>
            </w:r>
            <w:r>
              <w:rPr>
                <w:lang w:val="en-GB"/>
              </w:rPr>
              <w:t xml:space="preserve">collection contracts include </w:t>
            </w:r>
            <w:r w:rsidR="00D64D00">
              <w:rPr>
                <w:lang w:val="en-GB"/>
              </w:rPr>
              <w:t xml:space="preserve">a data clause (make it </w:t>
            </w:r>
            <w:r w:rsidR="00D64D00">
              <w:rPr>
                <w:lang w:val="en-GB"/>
              </w:rPr>
              <w:lastRenderedPageBreak/>
              <w:t>mandatory to ensure da</w:t>
            </w:r>
            <w:r>
              <w:rPr>
                <w:lang w:val="en-GB"/>
              </w:rPr>
              <w:t>ta are accessible via specialist</w:t>
            </w:r>
            <w:r w:rsidR="00D64D00">
              <w:rPr>
                <w:lang w:val="en-GB"/>
              </w:rPr>
              <w:t xml:space="preserve"> data centres).</w:t>
            </w:r>
            <w:r>
              <w:rPr>
                <w:lang w:val="en-GB"/>
              </w:rPr>
              <w:t xml:space="preserve"> The Geospatial Commission should also e</w:t>
            </w:r>
            <w:r w:rsidR="00D64D00">
              <w:rPr>
                <w:lang w:val="en-GB"/>
              </w:rPr>
              <w:t xml:space="preserve">nsure </w:t>
            </w:r>
            <w:r>
              <w:rPr>
                <w:lang w:val="en-GB"/>
              </w:rPr>
              <w:t xml:space="preserve">that the </w:t>
            </w:r>
            <w:r w:rsidR="00D64D00">
              <w:rPr>
                <w:lang w:val="en-GB"/>
              </w:rPr>
              <w:t xml:space="preserve">costs for managing and </w:t>
            </w:r>
            <w:proofErr w:type="spellStart"/>
            <w:r w:rsidR="00D64D00">
              <w:rPr>
                <w:lang w:val="en-GB"/>
              </w:rPr>
              <w:t>dissemninating</w:t>
            </w:r>
            <w:proofErr w:type="spellEnd"/>
            <w:r w:rsidR="00D64D00">
              <w:rPr>
                <w:lang w:val="en-GB"/>
              </w:rPr>
              <w:t xml:space="preserve"> public geospatial data assets are included in all projects from </w:t>
            </w:r>
            <w:r>
              <w:rPr>
                <w:lang w:val="en-GB"/>
              </w:rPr>
              <w:t xml:space="preserve">the </w:t>
            </w:r>
            <w:r w:rsidR="00D64D00">
              <w:rPr>
                <w:lang w:val="en-GB"/>
              </w:rPr>
              <w:t>outset.</w:t>
            </w:r>
          </w:p>
          <w:p w14:paraId="03FD1929"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31AD0D20" w14:textId="77777777" w:rsidR="00F30F60" w:rsidRDefault="00F30F60">
      <w:pPr>
        <w:pStyle w:val="Normal1"/>
        <w:contextualSpacing w:val="0"/>
        <w:rPr>
          <w:b/>
          <w:sz w:val="24"/>
          <w:szCs w:val="24"/>
        </w:rPr>
      </w:pPr>
    </w:p>
    <w:p w14:paraId="01421DAA" w14:textId="7F253772" w:rsidR="00F30F60" w:rsidRDefault="0096450A" w:rsidP="00845D80">
      <w:pPr>
        <w:pStyle w:val="Question"/>
      </w:pPr>
      <w:r>
        <w:t>Q10: What areas of the underpinning geospatial infrastructure such as positioning technologies, including GPS and indoor positioning systems, and geodetic networks and frameworks to support them, should we be prioritising the development of</w:t>
      </w:r>
      <w:r w:rsidR="00B24893">
        <w:t>,</w:t>
      </w:r>
      <w:r>
        <w:t xml:space="preserve"> in order to support the emerging requirements for geospatial data?</w:t>
      </w:r>
    </w:p>
    <w:tbl>
      <w:tblPr>
        <w:tblStyle w:val="aa"/>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28AD11A9" w14:textId="77777777" w:rsidTr="003335EF">
        <w:trPr>
          <w:trHeight w:val="2835"/>
        </w:trPr>
        <w:tc>
          <w:tcPr>
            <w:tcW w:w="8929" w:type="dxa"/>
            <w:shd w:val="clear" w:color="auto" w:fill="auto"/>
            <w:tcMar>
              <w:top w:w="100" w:type="dxa"/>
              <w:left w:w="100" w:type="dxa"/>
              <w:bottom w:w="100" w:type="dxa"/>
              <w:right w:w="100" w:type="dxa"/>
            </w:tcMar>
          </w:tcPr>
          <w:p w14:paraId="6078A287" w14:textId="77777777" w:rsidR="00F30F60" w:rsidRDefault="00F30F60" w:rsidP="00845D80">
            <w:pPr>
              <w:pStyle w:val="TableText"/>
            </w:pPr>
          </w:p>
          <w:p w14:paraId="0EFFEF7C" w14:textId="77777777" w:rsidR="00F30F60" w:rsidRDefault="00F30F60" w:rsidP="00845D80">
            <w:pPr>
              <w:pStyle w:val="TableText"/>
            </w:pPr>
          </w:p>
          <w:p w14:paraId="0B933035"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5BD8B078" w14:textId="77777777" w:rsidR="00F30F60" w:rsidRDefault="00F30F60" w:rsidP="00845D80"/>
    <w:p w14:paraId="7408F691" w14:textId="464D7AA2" w:rsidR="00F30F60" w:rsidRDefault="0096450A" w:rsidP="00845D80">
      <w:pPr>
        <w:pStyle w:val="Question"/>
      </w:pPr>
      <w:r>
        <w:t>Q11: What role should the private sector have in both the development and maintenance of the underpinning infrastructure and enhancing the UK’s geospatial data assets?</w:t>
      </w:r>
    </w:p>
    <w:tbl>
      <w:tblPr>
        <w:tblStyle w:val="ab"/>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5CA8142D" w14:textId="77777777" w:rsidTr="003335EF">
        <w:trPr>
          <w:trHeight w:val="2835"/>
        </w:trPr>
        <w:tc>
          <w:tcPr>
            <w:tcW w:w="8929" w:type="dxa"/>
            <w:shd w:val="clear" w:color="auto" w:fill="auto"/>
            <w:tcMar>
              <w:top w:w="100" w:type="dxa"/>
              <w:left w:w="100" w:type="dxa"/>
              <w:bottom w:w="100" w:type="dxa"/>
              <w:right w:w="100" w:type="dxa"/>
            </w:tcMar>
          </w:tcPr>
          <w:p w14:paraId="16E802C7" w14:textId="77777777" w:rsidR="00F30F60" w:rsidRDefault="00F30F60" w:rsidP="00845D80">
            <w:pPr>
              <w:pStyle w:val="TableText"/>
            </w:pPr>
          </w:p>
          <w:p w14:paraId="5DBF478F" w14:textId="4619501B" w:rsidR="00F30F60" w:rsidRPr="00B83B14" w:rsidRDefault="00C02910" w:rsidP="00845D80">
            <w:pPr>
              <w:pStyle w:val="TableText"/>
              <w:rPr>
                <w:lang w:val="en-GB"/>
              </w:rPr>
            </w:pPr>
            <w:r>
              <w:rPr>
                <w:lang w:val="en-GB"/>
              </w:rPr>
              <w:t>MEDIN’s experience of working with a cross section of the marine community has shown that a</w:t>
            </w:r>
            <w:r w:rsidR="00B83B14">
              <w:rPr>
                <w:lang w:val="en-GB"/>
              </w:rPr>
              <w:t xml:space="preserve"> collaborative approach ensures buy in from all sectors.</w:t>
            </w:r>
          </w:p>
          <w:p w14:paraId="0E292CCB"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20971FE8" w14:textId="77777777" w:rsidR="00F30F60" w:rsidRDefault="00F30F60" w:rsidP="00845D80"/>
    <w:p w14:paraId="5517628C" w14:textId="4F0F0F6D" w:rsidR="00F30F60" w:rsidRDefault="0096450A" w:rsidP="00845D80">
      <w:pPr>
        <w:pStyle w:val="Question"/>
      </w:pPr>
      <w:r>
        <w:t>Q12. Do you face challenges when working with geospatial data from across the public sector</w:t>
      </w:r>
      <w:r w:rsidR="00B24893">
        <w:t>?</w:t>
      </w:r>
      <w:r>
        <w:t xml:space="preserve"> </w:t>
      </w:r>
      <w:r w:rsidR="00B24893">
        <w:t>I</w:t>
      </w:r>
      <w:r>
        <w:t>f so</w:t>
      </w:r>
      <w:r w:rsidR="00B24893">
        <w:t>, what are they</w:t>
      </w:r>
      <w:r>
        <w:t xml:space="preserve"> and how could value be better released? </w:t>
      </w:r>
      <w:r>
        <w:lastRenderedPageBreak/>
        <w:t>Are there any technical remedies or standards that could be adopted to improve the interoperability of geospatial data? Please provide supporting evidence of what these re</w:t>
      </w:r>
      <w:r w:rsidR="00B24893">
        <w:t>medies could help to accomplish.</w:t>
      </w:r>
    </w:p>
    <w:tbl>
      <w:tblPr>
        <w:tblStyle w:val="ac"/>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76737A25" w14:textId="77777777" w:rsidTr="003335EF">
        <w:trPr>
          <w:trHeight w:val="2835"/>
        </w:trPr>
        <w:tc>
          <w:tcPr>
            <w:tcW w:w="8929" w:type="dxa"/>
            <w:shd w:val="clear" w:color="auto" w:fill="auto"/>
            <w:tcMar>
              <w:top w:w="100" w:type="dxa"/>
              <w:left w:w="100" w:type="dxa"/>
              <w:bottom w:w="100" w:type="dxa"/>
              <w:right w:w="100" w:type="dxa"/>
            </w:tcMar>
          </w:tcPr>
          <w:p w14:paraId="7D2C7391" w14:textId="0194039B" w:rsidR="00F30F60" w:rsidRPr="0028606E" w:rsidRDefault="0028606E" w:rsidP="00845D80">
            <w:pPr>
              <w:pStyle w:val="TableText"/>
              <w:rPr>
                <w:lang w:val="en-GB"/>
              </w:rPr>
            </w:pPr>
            <w:r>
              <w:rPr>
                <w:lang w:val="en-GB"/>
              </w:rPr>
              <w:t xml:space="preserve">MEDIN </w:t>
            </w:r>
            <w:r w:rsidR="00CC2575">
              <w:rPr>
                <w:lang w:val="en-GB"/>
              </w:rPr>
              <w:t>has developed a marine specific discovery metadata standard to improve interoperability of geospatial data</w:t>
            </w:r>
            <w:r w:rsidR="00764D25">
              <w:rPr>
                <w:lang w:val="en-GB"/>
              </w:rPr>
              <w:t xml:space="preserve"> (a marine profile of INSPIRE)</w:t>
            </w:r>
            <w:r w:rsidR="00CC2575">
              <w:rPr>
                <w:lang w:val="en-GB"/>
              </w:rPr>
              <w:t xml:space="preserve">. In addition, MEDIN provides a suite of thematic data guidelines to ensure reusability </w:t>
            </w:r>
            <w:r w:rsidR="00764D25">
              <w:rPr>
                <w:lang w:val="en-GB"/>
              </w:rPr>
              <w:t xml:space="preserve">and interoperability </w:t>
            </w:r>
            <w:r w:rsidR="00CC2575">
              <w:rPr>
                <w:lang w:val="en-GB"/>
              </w:rPr>
              <w:t xml:space="preserve">of </w:t>
            </w:r>
            <w:r w:rsidR="00764D25">
              <w:rPr>
                <w:lang w:val="en-GB"/>
              </w:rPr>
              <w:t>marine data. MEDIN provides advice on these standards and guidelines internationally and is happy to share these experiences and tools with the Geospatial Commission.</w:t>
            </w:r>
          </w:p>
          <w:p w14:paraId="2D5A724B" w14:textId="77777777" w:rsidR="00F30F60" w:rsidRDefault="00F30F60" w:rsidP="00845D80">
            <w:pPr>
              <w:pStyle w:val="TableText"/>
            </w:pPr>
          </w:p>
          <w:p w14:paraId="01DF8164"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76B748D7" w14:textId="77777777" w:rsidR="00F30F60" w:rsidRDefault="00F30F60" w:rsidP="003750E6"/>
    <w:p w14:paraId="6F10A694" w14:textId="6436F9E5" w:rsidR="00F30F60" w:rsidRDefault="0096450A" w:rsidP="00845D80">
      <w:pPr>
        <w:pStyle w:val="Question"/>
      </w:pPr>
      <w:r>
        <w:t>Q13. How can the Geospatial Commission act as a more effective customer for geospatial data on behalf of the public sector?</w:t>
      </w:r>
    </w:p>
    <w:tbl>
      <w:tblPr>
        <w:tblStyle w:val="ad"/>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37805671" w14:textId="77777777" w:rsidTr="003335EF">
        <w:trPr>
          <w:trHeight w:val="2835"/>
        </w:trPr>
        <w:tc>
          <w:tcPr>
            <w:tcW w:w="8929" w:type="dxa"/>
            <w:shd w:val="clear" w:color="auto" w:fill="auto"/>
            <w:tcMar>
              <w:top w:w="100" w:type="dxa"/>
              <w:left w:w="100" w:type="dxa"/>
              <w:bottom w:w="100" w:type="dxa"/>
              <w:right w:w="100" w:type="dxa"/>
            </w:tcMar>
          </w:tcPr>
          <w:p w14:paraId="6CD37213" w14:textId="77777777" w:rsidR="00F30F60" w:rsidRDefault="00F30F60" w:rsidP="00845D80">
            <w:pPr>
              <w:pStyle w:val="TableText"/>
            </w:pPr>
          </w:p>
          <w:p w14:paraId="06CC3BEA" w14:textId="77777777" w:rsidR="00F30F60" w:rsidRDefault="00F30F60" w:rsidP="00845D80">
            <w:pPr>
              <w:pStyle w:val="TableText"/>
            </w:pPr>
          </w:p>
          <w:p w14:paraId="642340F8"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5BF28185" w14:textId="77777777" w:rsidR="00F30F60" w:rsidRDefault="00F30F60" w:rsidP="007877AD"/>
    <w:p w14:paraId="4DF0B9F6" w14:textId="35A0F3AC" w:rsidR="00F30F60" w:rsidRDefault="0096450A" w:rsidP="00845D80">
      <w:pPr>
        <w:pStyle w:val="Question"/>
      </w:pPr>
      <w:r>
        <w:t xml:space="preserve">Q14. </w:t>
      </w:r>
      <w:r w:rsidR="002A266D">
        <w:t>Are</w:t>
      </w:r>
      <w:r>
        <w:t xml:space="preserve"> there any additional geospatial datasets, from the other </w:t>
      </w:r>
      <w:r w:rsidR="003750E6">
        <w:t>p</w:t>
      </w:r>
      <w:r>
        <w:t xml:space="preserve">artner </w:t>
      </w:r>
      <w:r w:rsidR="003750E6">
        <w:t>b</w:t>
      </w:r>
      <w:r>
        <w:t>odies or other sources</w:t>
      </w:r>
      <w:r w:rsidR="002A266D">
        <w:t>,</w:t>
      </w:r>
      <w:r>
        <w:t xml:space="preserve"> that the public sector would derive significant benefit from having access to, that might have novel and valuable use cases? What would that access look like?</w:t>
      </w:r>
    </w:p>
    <w:tbl>
      <w:tblPr>
        <w:tblStyle w:val="ae"/>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07D52712" w14:textId="77777777" w:rsidTr="003335EF">
        <w:trPr>
          <w:trHeight w:val="2835"/>
        </w:trPr>
        <w:tc>
          <w:tcPr>
            <w:tcW w:w="8929" w:type="dxa"/>
            <w:shd w:val="clear" w:color="auto" w:fill="auto"/>
            <w:tcMar>
              <w:top w:w="100" w:type="dxa"/>
              <w:left w:w="100" w:type="dxa"/>
              <w:bottom w:w="100" w:type="dxa"/>
              <w:right w:w="100" w:type="dxa"/>
            </w:tcMar>
          </w:tcPr>
          <w:p w14:paraId="271AEB29" w14:textId="77777777" w:rsidR="00F30F60" w:rsidRDefault="00F30F60" w:rsidP="007877AD">
            <w:pPr>
              <w:pStyle w:val="TableText"/>
            </w:pPr>
          </w:p>
          <w:p w14:paraId="4EBC4C33" w14:textId="77777777" w:rsidR="00F30F60" w:rsidRDefault="00F30F60" w:rsidP="007877AD">
            <w:pPr>
              <w:pStyle w:val="TableText"/>
            </w:pPr>
          </w:p>
          <w:p w14:paraId="28C4253C"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24247730" w14:textId="77777777" w:rsidR="000F3EAB" w:rsidRDefault="00941C5F" w:rsidP="007877AD">
      <w:pPr>
        <w:pStyle w:val="Question"/>
      </w:pPr>
      <w:r>
        <w:lastRenderedPageBreak/>
        <w:t>Q15</w:t>
      </w:r>
      <w:r w:rsidR="0096450A">
        <w:t>:</w:t>
      </w:r>
      <w:r w:rsidR="000F3EAB">
        <w:t xml:space="preserve"> How can we best develop a single UK strategy, ensuring alignment between the individual strategies across the UK while still allwoing for regional variations?</w:t>
      </w:r>
    </w:p>
    <w:tbl>
      <w:tblPr>
        <w:tblStyle w:val="TableGrid"/>
        <w:tblW w:w="0" w:type="auto"/>
        <w:tblInd w:w="108" w:type="dxa"/>
        <w:tblLook w:val="04A0" w:firstRow="1" w:lastRow="0" w:firstColumn="1" w:lastColumn="0" w:noHBand="0" w:noVBand="1"/>
      </w:tblPr>
      <w:tblGrid>
        <w:gridCol w:w="8911"/>
      </w:tblGrid>
      <w:tr w:rsidR="000F3EAB" w:rsidRPr="000F3EAB" w14:paraId="6E9845BC" w14:textId="77777777" w:rsidTr="0044711A">
        <w:trPr>
          <w:trHeight w:val="2317"/>
        </w:trPr>
        <w:tc>
          <w:tcPr>
            <w:tcW w:w="8931" w:type="dxa"/>
          </w:tcPr>
          <w:p w14:paraId="0C9C98A2" w14:textId="77777777" w:rsidR="000F3EAB" w:rsidRPr="000F3EAB" w:rsidRDefault="000F3EAB" w:rsidP="000F3EAB">
            <w:pPr>
              <w:pStyle w:val="TableText"/>
            </w:pPr>
          </w:p>
        </w:tc>
      </w:tr>
    </w:tbl>
    <w:p w14:paraId="7B2B60C3" w14:textId="77777777" w:rsidR="000F3EAB" w:rsidRDefault="000F3EAB" w:rsidP="007877AD">
      <w:pPr>
        <w:pStyle w:val="Question"/>
      </w:pPr>
    </w:p>
    <w:p w14:paraId="770A4AF7" w14:textId="4A2C1572" w:rsidR="00F30F60" w:rsidRDefault="000F3EAB" w:rsidP="007877AD">
      <w:pPr>
        <w:pStyle w:val="Question"/>
      </w:pPr>
      <w:r>
        <w:t>Q16:</w:t>
      </w:r>
      <w:r w:rsidR="0096450A">
        <w:t xml:space="preserve"> How can we best ensure effective </w:t>
      </w:r>
      <w:r w:rsidR="00805AE9">
        <w:t>l</w:t>
      </w:r>
      <w:r w:rsidR="0096450A">
        <w:t xml:space="preserve">ocal </w:t>
      </w:r>
      <w:r w:rsidR="00805AE9">
        <w:t>a</w:t>
      </w:r>
      <w:r w:rsidR="0096450A">
        <w:t xml:space="preserve">uthority coordination and sharing of best practise, using location data to better deliver public services? </w:t>
      </w:r>
    </w:p>
    <w:tbl>
      <w:tblPr>
        <w:tblStyle w:val="af"/>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12FD0BF2" w14:textId="77777777" w:rsidTr="0044711A">
        <w:trPr>
          <w:trHeight w:val="2232"/>
        </w:trPr>
        <w:tc>
          <w:tcPr>
            <w:tcW w:w="8929" w:type="dxa"/>
            <w:shd w:val="clear" w:color="auto" w:fill="auto"/>
            <w:tcMar>
              <w:top w:w="100" w:type="dxa"/>
              <w:left w:w="100" w:type="dxa"/>
              <w:bottom w:w="100" w:type="dxa"/>
              <w:right w:w="100" w:type="dxa"/>
            </w:tcMar>
          </w:tcPr>
          <w:p w14:paraId="2B8FD583" w14:textId="77777777" w:rsidR="00F30F60" w:rsidRDefault="00F30F60" w:rsidP="007877AD">
            <w:pPr>
              <w:pStyle w:val="TableText"/>
            </w:pPr>
          </w:p>
          <w:p w14:paraId="47FEBF48"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2E119AE0" w14:textId="77777777" w:rsidR="00F30F60" w:rsidRDefault="00F30F60" w:rsidP="007877AD"/>
    <w:p w14:paraId="6B8F243C" w14:textId="4C8CC1BE" w:rsidR="00F30F60" w:rsidRPr="00845D80" w:rsidRDefault="0096450A" w:rsidP="00845D80">
      <w:pPr>
        <w:pStyle w:val="Question"/>
      </w:pPr>
      <w:r>
        <w:t>Q1</w:t>
      </w:r>
      <w:r w:rsidR="000F3EAB">
        <w:t>7</w:t>
      </w:r>
      <w:r>
        <w:t>: As a result of this analysis</w:t>
      </w:r>
      <w:r w:rsidR="00A12A31">
        <w:t>,</w:t>
      </w:r>
      <w:r>
        <w:t xml:space="preserve"> we are prioritising the exploration of possible initiatives in the high-value categories identified:</w:t>
      </w:r>
    </w:p>
    <w:p w14:paraId="6D6DF2FA" w14:textId="5E22C506" w:rsidR="00F30F60" w:rsidRDefault="00A12A31" w:rsidP="007877AD">
      <w:pPr>
        <w:pStyle w:val="Question"/>
        <w:numPr>
          <w:ilvl w:val="0"/>
          <w:numId w:val="3"/>
        </w:numPr>
      </w:pPr>
      <w:r>
        <w:t>p</w:t>
      </w:r>
      <w:r w:rsidR="0096450A">
        <w:t>roperty and land</w:t>
      </w:r>
    </w:p>
    <w:p w14:paraId="2E0F514A" w14:textId="0B358861" w:rsidR="00F30F60" w:rsidRDefault="00A12A31" w:rsidP="007877AD">
      <w:pPr>
        <w:pStyle w:val="Question"/>
        <w:numPr>
          <w:ilvl w:val="0"/>
          <w:numId w:val="3"/>
        </w:numPr>
      </w:pPr>
      <w:r>
        <w:t>i</w:t>
      </w:r>
      <w:r w:rsidR="0096450A">
        <w:t>nfrastructure and construction</w:t>
      </w:r>
    </w:p>
    <w:p w14:paraId="1CAE5016" w14:textId="47372B3E" w:rsidR="00F30F60" w:rsidRDefault="00A12A31" w:rsidP="007877AD">
      <w:pPr>
        <w:pStyle w:val="Question"/>
        <w:numPr>
          <w:ilvl w:val="0"/>
          <w:numId w:val="3"/>
        </w:numPr>
      </w:pPr>
      <w:r>
        <w:t>m</w:t>
      </w:r>
      <w:r w:rsidR="0096450A">
        <w:t>obility</w:t>
      </w:r>
    </w:p>
    <w:p w14:paraId="66432B6A" w14:textId="6BEA3383" w:rsidR="00F30F60" w:rsidRDefault="00A12A31" w:rsidP="007877AD">
      <w:pPr>
        <w:pStyle w:val="Question"/>
        <w:numPr>
          <w:ilvl w:val="0"/>
          <w:numId w:val="3"/>
        </w:numPr>
      </w:pPr>
      <w:r>
        <w:t>na</w:t>
      </w:r>
      <w:r w:rsidR="0096450A">
        <w:t>tural resources</w:t>
      </w:r>
    </w:p>
    <w:p w14:paraId="32079350" w14:textId="7C891018" w:rsidR="00F30F60" w:rsidRPr="007877AD" w:rsidRDefault="00A12A31" w:rsidP="007877AD">
      <w:pPr>
        <w:pStyle w:val="Question"/>
        <w:numPr>
          <w:ilvl w:val="0"/>
          <w:numId w:val="3"/>
        </w:numPr>
      </w:pPr>
      <w:r>
        <w:t>s</w:t>
      </w:r>
      <w:r w:rsidR="0096450A">
        <w:t>ales and marketing</w:t>
      </w:r>
    </w:p>
    <w:p w14:paraId="2BA7044E" w14:textId="6ADBF2E3" w:rsidR="00F30F60" w:rsidRDefault="0096450A" w:rsidP="007877AD">
      <w:pPr>
        <w:pStyle w:val="Question"/>
      </w:pPr>
      <w:r>
        <w:t>What are the existing or potential geospatial app</w:t>
      </w:r>
      <w:r w:rsidR="00A2326C">
        <w:t>lications which could be scaled-</w:t>
      </w:r>
      <w:r>
        <w:t>up or developed in order to capture economic value</w:t>
      </w:r>
      <w:r w:rsidR="00A2326C">
        <w:t>?</w:t>
      </w:r>
      <w:r>
        <w:t xml:space="preserve"> (</w:t>
      </w:r>
      <w:r w:rsidR="00A2326C">
        <w:t>W</w:t>
      </w:r>
      <w:r>
        <w:t>e would particularly welcome responses from industry and other b</w:t>
      </w:r>
      <w:r w:rsidR="00A2326C">
        <w:t>odies engaged in these sectors.)</w:t>
      </w:r>
      <w:r>
        <w:t xml:space="preserve"> </w:t>
      </w:r>
    </w:p>
    <w:tbl>
      <w:tblPr>
        <w:tblStyle w:val="af0"/>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3B57917C" w14:textId="77777777" w:rsidTr="0044711A">
        <w:trPr>
          <w:trHeight w:val="1567"/>
        </w:trPr>
        <w:tc>
          <w:tcPr>
            <w:tcW w:w="8929" w:type="dxa"/>
            <w:shd w:val="clear" w:color="auto" w:fill="auto"/>
            <w:tcMar>
              <w:top w:w="100" w:type="dxa"/>
              <w:left w:w="100" w:type="dxa"/>
              <w:bottom w:w="100" w:type="dxa"/>
              <w:right w:w="100" w:type="dxa"/>
            </w:tcMar>
          </w:tcPr>
          <w:p w14:paraId="415CE333" w14:textId="55D5A28D" w:rsidR="00F30F60" w:rsidRDefault="001153D1" w:rsidP="007877AD">
            <w:pPr>
              <w:pStyle w:val="TableText"/>
              <w:rPr>
                <w:lang w:val="en-GB"/>
              </w:rPr>
            </w:pPr>
            <w:r>
              <w:rPr>
                <w:lang w:val="en-GB"/>
              </w:rPr>
              <w:t>Coast</w:t>
            </w:r>
            <w:r w:rsidR="005B39E8">
              <w:rPr>
                <w:lang w:val="en-GB"/>
              </w:rPr>
              <w:t>al defence of UK infrastructure.</w:t>
            </w:r>
          </w:p>
          <w:p w14:paraId="7FC9CED7" w14:textId="3DB9829B" w:rsidR="00764D25" w:rsidRPr="001153D1" w:rsidRDefault="00764D25" w:rsidP="007877AD">
            <w:pPr>
              <w:pStyle w:val="TableText"/>
              <w:rPr>
                <w:lang w:val="en-GB"/>
              </w:rPr>
            </w:pPr>
            <w:r>
              <w:rPr>
                <w:lang w:val="en-GB"/>
              </w:rPr>
              <w:t>Sustainable use of ocean resources.</w:t>
            </w:r>
          </w:p>
          <w:p w14:paraId="23850494" w14:textId="77777777" w:rsidR="00F30F60" w:rsidRDefault="00F30F60" w:rsidP="007877AD">
            <w:pPr>
              <w:pStyle w:val="TableText"/>
            </w:pPr>
          </w:p>
          <w:p w14:paraId="410D6E91"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6E97EC43" w14:textId="77777777" w:rsidR="00305235" w:rsidRDefault="00305235" w:rsidP="007877AD"/>
    <w:p w14:paraId="2675BDC8" w14:textId="1DCDB4F0" w:rsidR="00F30F60" w:rsidRDefault="0096450A" w:rsidP="007877AD">
      <w:pPr>
        <w:pStyle w:val="Question"/>
      </w:pPr>
      <w:r>
        <w:t>Q1</w:t>
      </w:r>
      <w:r w:rsidR="000F3EAB">
        <w:t>8</w:t>
      </w:r>
      <w:r>
        <w:t>: Are there any other areas that we should look at as a priority?</w:t>
      </w:r>
    </w:p>
    <w:tbl>
      <w:tblPr>
        <w:tblStyle w:val="af1"/>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1A9BBCB7" w14:textId="77777777" w:rsidTr="003335EF">
        <w:trPr>
          <w:trHeight w:val="3119"/>
        </w:trPr>
        <w:tc>
          <w:tcPr>
            <w:tcW w:w="8929" w:type="dxa"/>
            <w:shd w:val="clear" w:color="auto" w:fill="auto"/>
            <w:tcMar>
              <w:top w:w="100" w:type="dxa"/>
              <w:left w:w="100" w:type="dxa"/>
              <w:bottom w:w="100" w:type="dxa"/>
              <w:right w:w="100" w:type="dxa"/>
            </w:tcMar>
          </w:tcPr>
          <w:p w14:paraId="0DFE6F83" w14:textId="4D39267D" w:rsidR="00F30F60" w:rsidRDefault="002D1E32" w:rsidP="007877AD">
            <w:pPr>
              <w:pStyle w:val="TableText"/>
              <w:rPr>
                <w:lang w:val="en-GB"/>
              </w:rPr>
            </w:pPr>
            <w:proofErr w:type="spellStart"/>
            <w:r>
              <w:rPr>
                <w:lang w:val="en-GB"/>
              </w:rPr>
              <w:t>Defense</w:t>
            </w:r>
            <w:proofErr w:type="spellEnd"/>
            <w:r>
              <w:rPr>
                <w:lang w:val="en-GB"/>
              </w:rPr>
              <w:t xml:space="preserve"> and mitigation from environmental hazards such as:</w:t>
            </w:r>
          </w:p>
          <w:p w14:paraId="24866353" w14:textId="587FD134" w:rsidR="002D1E32" w:rsidRDefault="002D1E32" w:rsidP="002D1E32">
            <w:pPr>
              <w:pStyle w:val="TableText"/>
              <w:numPr>
                <w:ilvl w:val="0"/>
                <w:numId w:val="4"/>
              </w:numPr>
              <w:rPr>
                <w:lang w:val="en-GB"/>
              </w:rPr>
            </w:pPr>
            <w:r>
              <w:rPr>
                <w:lang w:val="en-GB"/>
              </w:rPr>
              <w:t>storm surges and flooding</w:t>
            </w:r>
          </w:p>
          <w:p w14:paraId="3A899FE4" w14:textId="0803E71B" w:rsidR="002D1E32" w:rsidRDefault="002D1E32" w:rsidP="002D1E32">
            <w:pPr>
              <w:pStyle w:val="TableText"/>
              <w:numPr>
                <w:ilvl w:val="0"/>
                <w:numId w:val="4"/>
              </w:numPr>
              <w:rPr>
                <w:lang w:val="en-GB"/>
              </w:rPr>
            </w:pPr>
            <w:r>
              <w:rPr>
                <w:lang w:val="en-GB"/>
              </w:rPr>
              <w:t>sea level rise</w:t>
            </w:r>
          </w:p>
          <w:p w14:paraId="18C5BD05" w14:textId="54787520" w:rsidR="002D1E32" w:rsidRDefault="002D1E32" w:rsidP="002D1E32">
            <w:pPr>
              <w:pStyle w:val="TableText"/>
              <w:numPr>
                <w:ilvl w:val="0"/>
                <w:numId w:val="4"/>
              </w:numPr>
              <w:rPr>
                <w:lang w:val="en-GB"/>
              </w:rPr>
            </w:pPr>
            <w:r>
              <w:rPr>
                <w:lang w:val="en-GB"/>
              </w:rPr>
              <w:t>seafood security in a changing climate</w:t>
            </w:r>
          </w:p>
          <w:p w14:paraId="75089D7F" w14:textId="182F4202" w:rsidR="00F30F60" w:rsidRDefault="002D1E32" w:rsidP="00740158">
            <w:pPr>
              <w:pStyle w:val="TableText"/>
              <w:numPr>
                <w:ilvl w:val="0"/>
                <w:numId w:val="4"/>
              </w:numPr>
            </w:pPr>
            <w:r w:rsidRPr="009D547B">
              <w:rPr>
                <w:lang w:val="en-GB"/>
              </w:rPr>
              <w:t>predicting extreme events</w:t>
            </w:r>
          </w:p>
          <w:p w14:paraId="668F1815" w14:textId="77777777" w:rsidR="00F30F60" w:rsidRDefault="00F30F60" w:rsidP="007877AD">
            <w:pPr>
              <w:pStyle w:val="TableText"/>
            </w:pPr>
          </w:p>
        </w:tc>
      </w:tr>
    </w:tbl>
    <w:p w14:paraId="12542671" w14:textId="77777777" w:rsidR="00F30F60" w:rsidRDefault="00F30F60" w:rsidP="007877AD"/>
    <w:p w14:paraId="3B41437F" w14:textId="450086BB" w:rsidR="00F30F60" w:rsidRDefault="0096450A" w:rsidP="003335EF">
      <w:pPr>
        <w:pStyle w:val="Question"/>
      </w:pPr>
      <w:r>
        <w:t>Q1</w:t>
      </w:r>
      <w:r w:rsidR="000F3EAB">
        <w:t>9</w:t>
      </w:r>
      <w:r>
        <w:t>: What are the main potential private and public sector innovations that will rely on the use of geospatial data to rollout, and are there corresponding regulatory challenges?</w:t>
      </w:r>
    </w:p>
    <w:tbl>
      <w:tblPr>
        <w:tblStyle w:val="af2"/>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06E53CBF" w14:textId="77777777" w:rsidTr="003335EF">
        <w:trPr>
          <w:trHeight w:val="3119"/>
        </w:trPr>
        <w:tc>
          <w:tcPr>
            <w:tcW w:w="8929" w:type="dxa"/>
            <w:shd w:val="clear" w:color="auto" w:fill="auto"/>
            <w:tcMar>
              <w:top w:w="100" w:type="dxa"/>
              <w:left w:w="100" w:type="dxa"/>
              <w:bottom w:w="100" w:type="dxa"/>
              <w:right w:w="100" w:type="dxa"/>
            </w:tcMar>
          </w:tcPr>
          <w:p w14:paraId="51C73A8C" w14:textId="77777777" w:rsidR="00F30F60" w:rsidRDefault="00F30F60" w:rsidP="007877AD">
            <w:pPr>
              <w:pStyle w:val="TableText"/>
            </w:pPr>
          </w:p>
          <w:p w14:paraId="631DFDC6" w14:textId="77777777" w:rsidR="00F30F60" w:rsidRDefault="00F30F60" w:rsidP="007877AD">
            <w:pPr>
              <w:pStyle w:val="TableText"/>
            </w:pPr>
          </w:p>
          <w:p w14:paraId="109D8ADF" w14:textId="77777777" w:rsidR="00F30F60" w:rsidRDefault="00F30F60" w:rsidP="007877AD">
            <w:pPr>
              <w:pStyle w:val="TableText"/>
            </w:pPr>
          </w:p>
        </w:tc>
      </w:tr>
    </w:tbl>
    <w:p w14:paraId="2358138D" w14:textId="77777777" w:rsidR="00510BA2" w:rsidRDefault="00510BA2">
      <w:pPr>
        <w:pStyle w:val="Normal1"/>
        <w:contextualSpacing w:val="0"/>
        <w:rPr>
          <w:b/>
          <w:sz w:val="24"/>
          <w:szCs w:val="24"/>
        </w:rPr>
      </w:pPr>
    </w:p>
    <w:p w14:paraId="71287BE7" w14:textId="16B95C7B" w:rsidR="00F30F60" w:rsidRDefault="0096450A" w:rsidP="007877AD">
      <w:pPr>
        <w:pStyle w:val="Question"/>
      </w:pPr>
      <w:r>
        <w:t>Q</w:t>
      </w:r>
      <w:r w:rsidR="000F3EAB">
        <w:t>20</w:t>
      </w:r>
      <w:r>
        <w:t>: How best can we make the UK’s presence in the international geospatial world more visible?</w:t>
      </w:r>
    </w:p>
    <w:tbl>
      <w:tblPr>
        <w:tblStyle w:val="af3"/>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325BAE65" w14:textId="77777777" w:rsidTr="003335EF">
        <w:trPr>
          <w:trHeight w:val="3119"/>
        </w:trPr>
        <w:tc>
          <w:tcPr>
            <w:tcW w:w="8929" w:type="dxa"/>
            <w:shd w:val="clear" w:color="auto" w:fill="auto"/>
            <w:tcMar>
              <w:top w:w="100" w:type="dxa"/>
              <w:left w:w="100" w:type="dxa"/>
              <w:bottom w:w="100" w:type="dxa"/>
              <w:right w:w="100" w:type="dxa"/>
            </w:tcMar>
          </w:tcPr>
          <w:p w14:paraId="39262F4D" w14:textId="4A30D1A1" w:rsidR="00F30F60" w:rsidRPr="009D547B" w:rsidRDefault="009D547B">
            <w:pPr>
              <w:pStyle w:val="Normal1"/>
              <w:widowControl w:val="0"/>
              <w:pBdr>
                <w:top w:val="nil"/>
                <w:left w:val="nil"/>
                <w:bottom w:val="nil"/>
                <w:right w:val="nil"/>
                <w:between w:val="nil"/>
              </w:pBdr>
              <w:spacing w:line="240" w:lineRule="auto"/>
              <w:contextualSpacing w:val="0"/>
              <w:rPr>
                <w:sz w:val="24"/>
                <w:szCs w:val="24"/>
                <w:lang w:val="en-GB"/>
              </w:rPr>
            </w:pPr>
            <w:r w:rsidRPr="009D547B">
              <w:rPr>
                <w:sz w:val="24"/>
                <w:szCs w:val="24"/>
                <w:lang w:val="en-GB"/>
              </w:rPr>
              <w:t xml:space="preserve">Membership and ultimately chair of relevant committees. Strive to ensure a </w:t>
            </w:r>
            <w:proofErr w:type="spellStart"/>
            <w:r w:rsidRPr="009D547B">
              <w:rPr>
                <w:sz w:val="24"/>
                <w:szCs w:val="24"/>
                <w:lang w:val="en-GB"/>
              </w:rPr>
              <w:t>twoway</w:t>
            </w:r>
            <w:proofErr w:type="spellEnd"/>
            <w:r w:rsidRPr="009D547B">
              <w:rPr>
                <w:sz w:val="24"/>
                <w:szCs w:val="24"/>
                <w:lang w:val="en-GB"/>
              </w:rPr>
              <w:t xml:space="preserve"> flow of information.</w:t>
            </w:r>
          </w:p>
          <w:p w14:paraId="08F1637C"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p w14:paraId="2F823C9A" w14:textId="77777777" w:rsidR="00F30F60" w:rsidRDefault="00F30F60">
            <w:pPr>
              <w:pStyle w:val="Normal1"/>
              <w:widowControl w:val="0"/>
              <w:pBdr>
                <w:top w:val="nil"/>
                <w:left w:val="nil"/>
                <w:bottom w:val="nil"/>
                <w:right w:val="nil"/>
                <w:between w:val="nil"/>
              </w:pBdr>
              <w:spacing w:line="240" w:lineRule="auto"/>
              <w:contextualSpacing w:val="0"/>
              <w:rPr>
                <w:b/>
                <w:sz w:val="24"/>
                <w:szCs w:val="24"/>
              </w:rPr>
            </w:pPr>
          </w:p>
        </w:tc>
      </w:tr>
    </w:tbl>
    <w:p w14:paraId="127845B6" w14:textId="77777777" w:rsidR="00510BA2" w:rsidRDefault="00510BA2">
      <w:pPr>
        <w:pStyle w:val="Normal1"/>
        <w:contextualSpacing w:val="0"/>
        <w:rPr>
          <w:b/>
          <w:sz w:val="24"/>
          <w:szCs w:val="24"/>
        </w:rPr>
      </w:pPr>
    </w:p>
    <w:p w14:paraId="2F0F4E9B" w14:textId="6A8CF96D" w:rsidR="00F30F60" w:rsidRDefault="0096450A" w:rsidP="007877AD">
      <w:pPr>
        <w:pStyle w:val="Question"/>
      </w:pPr>
      <w:r>
        <w:lastRenderedPageBreak/>
        <w:t>Q2</w:t>
      </w:r>
      <w:r w:rsidR="000F3EAB">
        <w:t>1</w:t>
      </w:r>
      <w:r>
        <w:t xml:space="preserve">: Where should the UK be looking for points of comparison overseas? Who are the other international exemplars? What best practice is being modelled overseas that we can learn from? </w:t>
      </w:r>
    </w:p>
    <w:tbl>
      <w:tblPr>
        <w:tblStyle w:val="af4"/>
        <w:tblW w:w="89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9"/>
      </w:tblGrid>
      <w:tr w:rsidR="00F30F60" w14:paraId="56BE17B4" w14:textId="77777777" w:rsidTr="003335EF">
        <w:trPr>
          <w:trHeight w:val="2835"/>
        </w:trPr>
        <w:tc>
          <w:tcPr>
            <w:tcW w:w="8929" w:type="dxa"/>
            <w:shd w:val="clear" w:color="auto" w:fill="auto"/>
            <w:tcMar>
              <w:top w:w="100" w:type="dxa"/>
              <w:left w:w="100" w:type="dxa"/>
              <w:bottom w:w="100" w:type="dxa"/>
              <w:right w:w="100" w:type="dxa"/>
            </w:tcMar>
          </w:tcPr>
          <w:p w14:paraId="794761D4" w14:textId="77777777" w:rsidR="00F30F60" w:rsidRDefault="00F30F60" w:rsidP="007877AD">
            <w:pPr>
              <w:pStyle w:val="TableText"/>
            </w:pPr>
          </w:p>
          <w:p w14:paraId="4280F3D5" w14:textId="1FE128AE" w:rsidR="00F30F60" w:rsidRPr="00B65BDA" w:rsidRDefault="00764D25" w:rsidP="007877AD">
            <w:pPr>
              <w:pStyle w:val="TableText"/>
              <w:rPr>
                <w:lang w:val="en-GB"/>
              </w:rPr>
            </w:pPr>
            <w:r>
              <w:rPr>
                <w:lang w:val="en-GB"/>
              </w:rPr>
              <w:t>INSPIRE, OGC,</w:t>
            </w:r>
          </w:p>
          <w:p w14:paraId="681708EB" w14:textId="77777777" w:rsidR="00F30F60" w:rsidRDefault="00F30F60" w:rsidP="007877AD">
            <w:pPr>
              <w:pStyle w:val="TableText"/>
            </w:pPr>
          </w:p>
        </w:tc>
      </w:tr>
    </w:tbl>
    <w:p w14:paraId="01366FC7" w14:textId="77777777" w:rsidR="00F30F60" w:rsidRDefault="00F30F60" w:rsidP="00305235"/>
    <w:p w14:paraId="3C27E4F7" w14:textId="20224A06" w:rsidR="00F30F60" w:rsidRDefault="0096450A" w:rsidP="00845D80">
      <w:r>
        <w:t xml:space="preserve">Thank you for your time in completing your response to our call for evidence.  </w:t>
      </w:r>
    </w:p>
    <w:p w14:paraId="6187BE6B" w14:textId="77777777" w:rsidR="00F30F60" w:rsidRDefault="0096450A" w:rsidP="00845D80">
      <w:r>
        <w:t xml:space="preserve">Any questions, please get in touch with the Geospatial Commission via </w:t>
      </w:r>
      <w:hyperlink r:id="rId10">
        <w:r>
          <w:rPr>
            <w:color w:val="1155CC"/>
            <w:u w:val="single"/>
          </w:rPr>
          <w:t>geospatialcommission@cabinetoffice.gov.uk</w:t>
        </w:r>
      </w:hyperlink>
      <w:r>
        <w:t xml:space="preserve"> </w:t>
      </w:r>
    </w:p>
    <w:sectPr w:rsidR="00F30F60" w:rsidSect="00510BA2">
      <w:footerReference w:type="default" r:id="rId11"/>
      <w:footerReference w:type="first" r:id="rId12"/>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CF50" w14:textId="77777777" w:rsidR="002E1FED" w:rsidRDefault="002E1FED">
      <w:pPr>
        <w:spacing w:after="0" w:line="240" w:lineRule="auto"/>
      </w:pPr>
      <w:r>
        <w:separator/>
      </w:r>
    </w:p>
  </w:endnote>
  <w:endnote w:type="continuationSeparator" w:id="0">
    <w:p w14:paraId="2B6884C6" w14:textId="77777777" w:rsidR="002E1FED" w:rsidRDefault="002E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A767" w14:textId="2C6C54CB" w:rsidR="002E1FED" w:rsidRDefault="002E1FED" w:rsidP="00510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00F">
      <w:rPr>
        <w:rStyle w:val="PageNumber"/>
        <w:noProof/>
      </w:rPr>
      <w:t>11</w:t>
    </w:r>
    <w:r>
      <w:rPr>
        <w:rStyle w:val="PageNumber"/>
      </w:rPr>
      <w:fldChar w:fldCharType="end"/>
    </w:r>
  </w:p>
  <w:p w14:paraId="0C5CBC84" w14:textId="0003D0FB" w:rsidR="002E1FED" w:rsidRDefault="002E1FED" w:rsidP="00510BA2">
    <w:pPr>
      <w:pStyle w:val="Normal1"/>
      <w:tabs>
        <w:tab w:val="right" w:pos="8789"/>
      </w:tabs>
      <w:ind w:right="360"/>
      <w:contextualSpacing w:val="0"/>
    </w:pPr>
    <w:r w:rsidRPr="00510BA2">
      <w:t>Geospatial Commission</w:t>
    </w:r>
    <w:r w:rsidR="00FA47EF">
      <w:t>:</w:t>
    </w:r>
    <w:r w:rsidRPr="00510BA2">
      <w:t xml:space="preserve"> Call For Evidence Response Questionnaire</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5B8B" w14:textId="764E9614" w:rsidR="002E1FED" w:rsidRDefault="002E1FED" w:rsidP="00964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00F">
      <w:rPr>
        <w:rStyle w:val="PageNumber"/>
        <w:noProof/>
      </w:rPr>
      <w:t>1</w:t>
    </w:r>
    <w:r>
      <w:rPr>
        <w:rStyle w:val="PageNumber"/>
      </w:rPr>
      <w:fldChar w:fldCharType="end"/>
    </w:r>
  </w:p>
  <w:p w14:paraId="0927B638" w14:textId="14FE6F62" w:rsidR="002E1FED" w:rsidRDefault="002E1FED" w:rsidP="00510BA2">
    <w:pPr>
      <w:pStyle w:val="Normal1"/>
      <w:tabs>
        <w:tab w:val="right" w:pos="8789"/>
      </w:tabs>
      <w:ind w:right="360"/>
      <w:contextualSpacing w:val="0"/>
    </w:pPr>
    <w:r w:rsidRPr="00510BA2">
      <w:t>Geospatial Commission</w:t>
    </w:r>
    <w:r w:rsidR="00FA47EF">
      <w:t>:</w:t>
    </w:r>
    <w:r w:rsidRPr="00510BA2">
      <w:t xml:space="preserve"> Call For Evidence Response Questionnaire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F992" w14:textId="77777777" w:rsidR="002E1FED" w:rsidRDefault="002E1FED">
      <w:pPr>
        <w:spacing w:after="0" w:line="240" w:lineRule="auto"/>
      </w:pPr>
      <w:r>
        <w:separator/>
      </w:r>
    </w:p>
  </w:footnote>
  <w:footnote w:type="continuationSeparator" w:id="0">
    <w:p w14:paraId="20A6B32C" w14:textId="77777777" w:rsidR="002E1FED" w:rsidRDefault="002E1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29E0"/>
    <w:multiLevelType w:val="hybridMultilevel"/>
    <w:tmpl w:val="69C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610D7"/>
    <w:multiLevelType w:val="multilevel"/>
    <w:tmpl w:val="8D4E9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6611D9"/>
    <w:multiLevelType w:val="hybridMultilevel"/>
    <w:tmpl w:val="ED3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842D2"/>
    <w:multiLevelType w:val="multilevel"/>
    <w:tmpl w:val="7F704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60"/>
    <w:rsid w:val="000F3EAB"/>
    <w:rsid w:val="00104099"/>
    <w:rsid w:val="00111F63"/>
    <w:rsid w:val="001153D1"/>
    <w:rsid w:val="001B245C"/>
    <w:rsid w:val="001D3451"/>
    <w:rsid w:val="001E1519"/>
    <w:rsid w:val="00277CFC"/>
    <w:rsid w:val="0028606E"/>
    <w:rsid w:val="002A266D"/>
    <w:rsid w:val="002D1E32"/>
    <w:rsid w:val="002E1FED"/>
    <w:rsid w:val="003015D3"/>
    <w:rsid w:val="00305235"/>
    <w:rsid w:val="003335EF"/>
    <w:rsid w:val="003750E6"/>
    <w:rsid w:val="0044711A"/>
    <w:rsid w:val="004677CC"/>
    <w:rsid w:val="00510BA2"/>
    <w:rsid w:val="005277EC"/>
    <w:rsid w:val="005B39E8"/>
    <w:rsid w:val="0060477A"/>
    <w:rsid w:val="006355E3"/>
    <w:rsid w:val="00764D25"/>
    <w:rsid w:val="007877AD"/>
    <w:rsid w:val="007B2B32"/>
    <w:rsid w:val="007B52C8"/>
    <w:rsid w:val="00805AE9"/>
    <w:rsid w:val="008122E8"/>
    <w:rsid w:val="00842D4D"/>
    <w:rsid w:val="00845D80"/>
    <w:rsid w:val="00930A42"/>
    <w:rsid w:val="00941C5F"/>
    <w:rsid w:val="00954CFD"/>
    <w:rsid w:val="0096450A"/>
    <w:rsid w:val="009A3EDC"/>
    <w:rsid w:val="009D547B"/>
    <w:rsid w:val="00A12A31"/>
    <w:rsid w:val="00A2326C"/>
    <w:rsid w:val="00A364D9"/>
    <w:rsid w:val="00B24893"/>
    <w:rsid w:val="00B37F5C"/>
    <w:rsid w:val="00B65BDA"/>
    <w:rsid w:val="00B83B14"/>
    <w:rsid w:val="00BA6C48"/>
    <w:rsid w:val="00BC347A"/>
    <w:rsid w:val="00BE5D41"/>
    <w:rsid w:val="00BF100F"/>
    <w:rsid w:val="00C02910"/>
    <w:rsid w:val="00C67904"/>
    <w:rsid w:val="00CC2575"/>
    <w:rsid w:val="00CE6A35"/>
    <w:rsid w:val="00D64D00"/>
    <w:rsid w:val="00E25718"/>
    <w:rsid w:val="00E54129"/>
    <w:rsid w:val="00EB5CD7"/>
    <w:rsid w:val="00F30F60"/>
    <w:rsid w:val="00F758FC"/>
    <w:rsid w:val="00FA47EF"/>
    <w:rsid w:val="00FC16C8"/>
    <w:rsid w:val="00FD1C8A"/>
    <w:rsid w:val="00FF1B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38FDC"/>
  <w15:docId w15:val="{FC9DD3C1-1181-47A9-8082-79B66B35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z-Cyrl-UZ"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80"/>
    <w:pPr>
      <w:spacing w:after="120"/>
      <w:contextualSpacing w:val="0"/>
    </w:pPr>
    <w:rPr>
      <w:sz w:val="24"/>
    </w:rPr>
  </w:style>
  <w:style w:type="paragraph" w:styleId="Heading1">
    <w:name w:val="heading 1"/>
    <w:basedOn w:val="Normal1"/>
    <w:next w:val="Normal1"/>
    <w:rsid w:val="00510BA2"/>
    <w:pPr>
      <w:keepNext/>
      <w:keepLines/>
      <w:spacing w:after="120"/>
      <w:outlineLvl w:val="0"/>
    </w:pPr>
    <w:rPr>
      <w:b/>
      <w:sz w:val="28"/>
      <w:szCs w:val="40"/>
    </w:rPr>
  </w:style>
  <w:style w:type="paragraph" w:styleId="Heading2">
    <w:name w:val="heading 2"/>
    <w:basedOn w:val="Normal1"/>
    <w:next w:val="Normal1"/>
    <w:rsid w:val="00510BA2"/>
    <w:pPr>
      <w:keepNext/>
      <w:keepLines/>
      <w:spacing w:before="360" w:after="120"/>
      <w:outlineLvl w:val="1"/>
    </w:pPr>
    <w:rPr>
      <w:b/>
      <w:sz w:val="28"/>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0BA2"/>
    <w:pPr>
      <w:tabs>
        <w:tab w:val="center" w:pos="4320"/>
        <w:tab w:val="right" w:pos="8640"/>
      </w:tabs>
      <w:spacing w:line="240" w:lineRule="auto"/>
    </w:pPr>
  </w:style>
  <w:style w:type="character" w:customStyle="1" w:styleId="HeaderChar">
    <w:name w:val="Header Char"/>
    <w:basedOn w:val="DefaultParagraphFont"/>
    <w:link w:val="Header"/>
    <w:uiPriority w:val="99"/>
    <w:rsid w:val="00510BA2"/>
  </w:style>
  <w:style w:type="paragraph" w:styleId="Footer">
    <w:name w:val="footer"/>
    <w:basedOn w:val="Normal"/>
    <w:link w:val="FooterChar"/>
    <w:uiPriority w:val="99"/>
    <w:unhideWhenUsed/>
    <w:rsid w:val="00510BA2"/>
    <w:pPr>
      <w:tabs>
        <w:tab w:val="center" w:pos="4320"/>
        <w:tab w:val="right" w:pos="8640"/>
      </w:tabs>
      <w:spacing w:line="240" w:lineRule="auto"/>
    </w:pPr>
  </w:style>
  <w:style w:type="character" w:customStyle="1" w:styleId="FooterChar">
    <w:name w:val="Footer Char"/>
    <w:basedOn w:val="DefaultParagraphFont"/>
    <w:link w:val="Footer"/>
    <w:uiPriority w:val="99"/>
    <w:rsid w:val="00510BA2"/>
  </w:style>
  <w:style w:type="character" w:styleId="PageNumber">
    <w:name w:val="page number"/>
    <w:basedOn w:val="DefaultParagraphFont"/>
    <w:uiPriority w:val="99"/>
    <w:semiHidden/>
    <w:unhideWhenUsed/>
    <w:rsid w:val="00510BA2"/>
  </w:style>
  <w:style w:type="paragraph" w:customStyle="1" w:styleId="TableTitle">
    <w:name w:val="TableTitle"/>
    <w:basedOn w:val="Normal1"/>
    <w:qFormat/>
    <w:rsid w:val="00CE6A35"/>
    <w:pPr>
      <w:widowControl w:val="0"/>
      <w:pBdr>
        <w:top w:val="nil"/>
        <w:left w:val="nil"/>
        <w:bottom w:val="nil"/>
        <w:right w:val="nil"/>
        <w:between w:val="nil"/>
      </w:pBdr>
      <w:spacing w:line="240" w:lineRule="auto"/>
      <w:contextualSpacing w:val="0"/>
    </w:pPr>
    <w:rPr>
      <w:b/>
      <w:sz w:val="24"/>
      <w:szCs w:val="24"/>
    </w:rPr>
  </w:style>
  <w:style w:type="paragraph" w:customStyle="1" w:styleId="TableText">
    <w:name w:val="TableText"/>
    <w:basedOn w:val="Normal1"/>
    <w:qFormat/>
    <w:rsid w:val="00CE6A35"/>
    <w:pPr>
      <w:widowControl w:val="0"/>
      <w:pBdr>
        <w:top w:val="nil"/>
        <w:left w:val="nil"/>
        <w:bottom w:val="nil"/>
        <w:right w:val="nil"/>
        <w:between w:val="nil"/>
      </w:pBdr>
      <w:spacing w:line="240" w:lineRule="auto"/>
      <w:contextualSpacing w:val="0"/>
    </w:pPr>
    <w:rPr>
      <w:sz w:val="24"/>
      <w:szCs w:val="24"/>
    </w:rPr>
  </w:style>
  <w:style w:type="paragraph" w:styleId="ListParagraph">
    <w:name w:val="List Paragraph"/>
    <w:basedOn w:val="Normal"/>
    <w:uiPriority w:val="34"/>
    <w:qFormat/>
    <w:rsid w:val="00CE6A35"/>
    <w:pPr>
      <w:ind w:left="720"/>
    </w:pPr>
  </w:style>
  <w:style w:type="paragraph" w:customStyle="1" w:styleId="Question">
    <w:name w:val="Question"/>
    <w:basedOn w:val="Normal1"/>
    <w:qFormat/>
    <w:rsid w:val="00845D80"/>
    <w:pPr>
      <w:spacing w:after="120"/>
      <w:contextualSpacing w:val="0"/>
    </w:pPr>
    <w:rPr>
      <w:b/>
      <w:sz w:val="24"/>
      <w:szCs w:val="24"/>
    </w:rPr>
  </w:style>
  <w:style w:type="paragraph" w:styleId="Revision">
    <w:name w:val="Revision"/>
    <w:hidden/>
    <w:uiPriority w:val="99"/>
    <w:semiHidden/>
    <w:rsid w:val="003015D3"/>
    <w:pPr>
      <w:spacing w:line="240" w:lineRule="auto"/>
      <w:contextualSpacing w:val="0"/>
    </w:pPr>
    <w:rPr>
      <w:sz w:val="24"/>
    </w:rPr>
  </w:style>
  <w:style w:type="paragraph" w:styleId="BalloonText">
    <w:name w:val="Balloon Text"/>
    <w:basedOn w:val="Normal"/>
    <w:link w:val="BalloonTextChar"/>
    <w:uiPriority w:val="99"/>
    <w:semiHidden/>
    <w:unhideWhenUsed/>
    <w:rsid w:val="003015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015D3"/>
    <w:rPr>
      <w:rFonts w:ascii="Lucida Grande" w:hAnsi="Lucida Grande"/>
      <w:sz w:val="18"/>
      <w:szCs w:val="18"/>
    </w:rPr>
  </w:style>
  <w:style w:type="table" w:styleId="TableGrid">
    <w:name w:val="Table Grid"/>
    <w:basedOn w:val="TableNormal"/>
    <w:uiPriority w:val="59"/>
    <w:rsid w:val="000F3E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ospatialcommission@cabinetoff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ospatialcommission@cabinetoffice.gov.uk" TargetMode="External"/><Relationship Id="rId4" Type="http://schemas.openxmlformats.org/officeDocument/2006/relationships/settings" Target="settings.xml"/><Relationship Id="rId9" Type="http://schemas.openxmlformats.org/officeDocument/2006/relationships/hyperlink" Target="mailto:cfpo@bodc.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CD3E-7696-45D4-9EFA-FE98C6AC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Postlethwaite, Clare</dc:creator>
  <cp:lastModifiedBy>Postlethwaite, Clare</cp:lastModifiedBy>
  <cp:revision>29</cp:revision>
  <cp:lastPrinted>2018-08-13T08:16:00Z</cp:lastPrinted>
  <dcterms:created xsi:type="dcterms:W3CDTF">2018-10-02T13:49:00Z</dcterms:created>
  <dcterms:modified xsi:type="dcterms:W3CDTF">2018-10-09T15:21:00Z</dcterms:modified>
</cp:coreProperties>
</file>