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C64" w:rsidRDefault="001C50A6" w:rsidP="00BA7C64">
      <w:pPr>
        <w:pStyle w:val="Heading1"/>
      </w:pPr>
      <w:r>
        <w:t xml:space="preserve">P5: </w:t>
      </w:r>
      <w:r w:rsidR="00BA7C64">
        <w:t>Proposed change</w:t>
      </w:r>
      <w:r w:rsidR="00E0783E">
        <w:t xml:space="preserve"> to DAC annual report template</w:t>
      </w:r>
    </w:p>
    <w:p w:rsidR="00E23EC1" w:rsidRDefault="00E0783E" w:rsidP="007E720A">
      <w:pPr>
        <w:jc w:val="both"/>
      </w:pPr>
      <w:r>
        <w:t xml:space="preserve">With the new MEDIN Business Plan now in place, this is a good opportunity to review </w:t>
      </w:r>
      <w:r w:rsidR="00187B2B">
        <w:t>the DAC</w:t>
      </w:r>
      <w:r w:rsidR="00EE477F">
        <w:t xml:space="preserve"> annual reporting template. </w:t>
      </w:r>
      <w:r>
        <w:t>T</w:t>
      </w:r>
      <w:r w:rsidR="001C50A6">
        <w:t>he</w:t>
      </w:r>
      <w:r w:rsidR="00E23EC1">
        <w:t xml:space="preserve"> forthcoming reporting round will be the first one under the new MEDIN Business Plan. </w:t>
      </w:r>
    </w:p>
    <w:p w:rsidR="00BA7C64" w:rsidRDefault="002A207C" w:rsidP="007E720A">
      <w:pPr>
        <w:jc w:val="both"/>
      </w:pPr>
      <w:r>
        <w:t>Table 1</w:t>
      </w:r>
      <w:r w:rsidR="00E23EC1">
        <w:t xml:space="preserve"> below shows what the old template asked for and what the new template proposes to cover. </w:t>
      </w:r>
      <w:r>
        <w:t xml:space="preserve">The aim is to try and make the questions </w:t>
      </w:r>
      <w:r w:rsidR="001C50A6">
        <w:t>clearer</w:t>
      </w:r>
      <w:r w:rsidR="001C50A6">
        <w:t>, ensure they return useful information</w:t>
      </w:r>
      <w:r>
        <w:t>, and to use a less cluttered format.</w:t>
      </w:r>
      <w:r w:rsidR="001F345E">
        <w:t xml:space="preserve"> </w:t>
      </w:r>
    </w:p>
    <w:p w:rsidR="001235BE" w:rsidRDefault="002A207C" w:rsidP="007E720A">
      <w:pPr>
        <w:jc w:val="both"/>
      </w:pPr>
      <w:r>
        <w:t xml:space="preserve">Further down is </w:t>
      </w:r>
      <w:r w:rsidR="001235BE">
        <w:t>A</w:t>
      </w:r>
      <w:r w:rsidR="00B2702D">
        <w:t xml:space="preserve">nnex 1 </w:t>
      </w:r>
      <w:r>
        <w:t xml:space="preserve">with </w:t>
      </w:r>
      <w:r w:rsidR="001235BE">
        <w:t>a</w:t>
      </w:r>
      <w:r w:rsidR="00A6316E">
        <w:t xml:space="preserve">n </w:t>
      </w:r>
      <w:r w:rsidR="001235BE">
        <w:t>example of the new proposed template</w:t>
      </w:r>
      <w:r w:rsidR="001C50A6">
        <w:t xml:space="preserve"> (note, </w:t>
      </w:r>
      <w:r w:rsidR="00220A20">
        <w:t xml:space="preserve">BGS used as an example - </w:t>
      </w:r>
      <w:r w:rsidR="001C50A6">
        <w:t xml:space="preserve">most figures in the example are </w:t>
      </w:r>
      <w:bookmarkStart w:id="0" w:name="_GoBack"/>
      <w:bookmarkEnd w:id="0"/>
      <w:r w:rsidR="001C50A6">
        <w:t>fictitious)</w:t>
      </w:r>
      <w:r w:rsidR="00E0783E">
        <w:t>.</w:t>
      </w:r>
      <w:r w:rsidR="00B2702D">
        <w:t xml:space="preserve"> </w:t>
      </w:r>
      <w:r w:rsidR="001F345E">
        <w:t xml:space="preserve">The template hasn’t been finalised, for example </w:t>
      </w:r>
      <w:r w:rsidR="0084035A">
        <w:t>it could</w:t>
      </w:r>
      <w:r w:rsidR="001F345E">
        <w:t xml:space="preserve"> include text bo</w:t>
      </w:r>
      <w:r w:rsidR="0084035A">
        <w:t>xes for each question that needs DAC input.</w:t>
      </w:r>
      <w:r w:rsidR="001F345E">
        <w:t xml:space="preserve"> </w:t>
      </w:r>
      <w:r w:rsidR="007E720A">
        <w:t xml:space="preserve">Is anything missing that you would like to continue (or start) reporting on? Would you prefer to keep the old reporting format? </w:t>
      </w:r>
      <w:r w:rsidR="007E720A">
        <w:t>Your feedback and suggestions are welcome.</w:t>
      </w:r>
    </w:p>
    <w:p w:rsidR="00086666" w:rsidRDefault="002A207C">
      <w:r>
        <w:t xml:space="preserve">Table 1: comparison of old </w:t>
      </w:r>
      <w:r w:rsidR="001C50A6">
        <w:t xml:space="preserve">DAC </w:t>
      </w:r>
      <w:r>
        <w:t>annual report content versus proposed new report content.</w:t>
      </w:r>
    </w:p>
    <w:tbl>
      <w:tblPr>
        <w:tblStyle w:val="TableGrid"/>
        <w:tblW w:w="9634" w:type="dxa"/>
        <w:tblLook w:val="04A0" w:firstRow="1" w:lastRow="0" w:firstColumn="1" w:lastColumn="0" w:noHBand="0" w:noVBand="1"/>
      </w:tblPr>
      <w:tblGrid>
        <w:gridCol w:w="4815"/>
        <w:gridCol w:w="4819"/>
      </w:tblGrid>
      <w:tr w:rsidR="00086666" w:rsidRPr="00220A20" w:rsidTr="00187B2B">
        <w:tc>
          <w:tcPr>
            <w:tcW w:w="4815" w:type="dxa"/>
            <w:shd w:val="clear" w:color="auto" w:fill="D9D9D9" w:themeFill="background1" w:themeFillShade="D9"/>
          </w:tcPr>
          <w:p w:rsidR="00086666" w:rsidRPr="00220A20" w:rsidRDefault="00086666">
            <w:pPr>
              <w:rPr>
                <w:rFonts w:cstheme="minorHAnsi"/>
                <w:b/>
                <w:sz w:val="18"/>
                <w:szCs w:val="18"/>
              </w:rPr>
            </w:pPr>
            <w:r w:rsidRPr="00220A20">
              <w:rPr>
                <w:rFonts w:cstheme="minorHAnsi"/>
                <w:b/>
                <w:sz w:val="18"/>
                <w:szCs w:val="18"/>
              </w:rPr>
              <w:t>Old annual report</w:t>
            </w:r>
          </w:p>
        </w:tc>
        <w:tc>
          <w:tcPr>
            <w:tcW w:w="4819" w:type="dxa"/>
            <w:shd w:val="clear" w:color="auto" w:fill="D9D9D9" w:themeFill="background1" w:themeFillShade="D9"/>
          </w:tcPr>
          <w:p w:rsidR="00086666" w:rsidRPr="00220A20" w:rsidRDefault="00086666">
            <w:pPr>
              <w:rPr>
                <w:rFonts w:cstheme="minorHAnsi"/>
                <w:b/>
                <w:sz w:val="18"/>
                <w:szCs w:val="18"/>
              </w:rPr>
            </w:pPr>
            <w:r w:rsidRPr="00220A20">
              <w:rPr>
                <w:rFonts w:cstheme="minorHAnsi"/>
                <w:b/>
                <w:sz w:val="18"/>
                <w:szCs w:val="18"/>
              </w:rPr>
              <w:t>New annual report</w:t>
            </w:r>
          </w:p>
        </w:tc>
      </w:tr>
      <w:tr w:rsidR="00086666" w:rsidRPr="00220A20" w:rsidTr="00187B2B">
        <w:tc>
          <w:tcPr>
            <w:tcW w:w="4815" w:type="dxa"/>
          </w:tcPr>
          <w:p w:rsidR="00086666" w:rsidRPr="00220A20" w:rsidRDefault="00086666">
            <w:pPr>
              <w:rPr>
                <w:rFonts w:cstheme="minorHAnsi"/>
                <w:b/>
                <w:sz w:val="18"/>
                <w:szCs w:val="18"/>
              </w:rPr>
            </w:pPr>
            <w:r w:rsidRPr="00220A20">
              <w:rPr>
                <w:rFonts w:cstheme="minorHAnsi"/>
                <w:b/>
                <w:sz w:val="18"/>
                <w:szCs w:val="18"/>
              </w:rPr>
              <w:t>No. of data sets available through DAC:</w:t>
            </w:r>
          </w:p>
          <w:p w:rsidR="00086666" w:rsidRPr="00220A20" w:rsidRDefault="00086666" w:rsidP="00086666">
            <w:pPr>
              <w:pStyle w:val="ListParagraph"/>
              <w:numPr>
                <w:ilvl w:val="0"/>
                <w:numId w:val="1"/>
              </w:numPr>
              <w:contextualSpacing/>
              <w:rPr>
                <w:rFonts w:asciiTheme="minorHAnsi" w:hAnsiTheme="minorHAnsi" w:cstheme="minorHAnsi"/>
                <w:color w:val="000000" w:themeColor="text1"/>
                <w:sz w:val="18"/>
                <w:szCs w:val="18"/>
              </w:rPr>
            </w:pPr>
            <w:r w:rsidRPr="00220A20">
              <w:rPr>
                <w:rFonts w:asciiTheme="minorHAnsi" w:hAnsiTheme="minorHAnsi" w:cstheme="minorHAnsi"/>
                <w:color w:val="000000" w:themeColor="text1"/>
                <w:sz w:val="18"/>
                <w:szCs w:val="18"/>
              </w:rPr>
              <w:t>Total No. of data sets published on the MEDIN portal</w:t>
            </w:r>
          </w:p>
          <w:p w:rsidR="00086666" w:rsidRPr="00220A20" w:rsidRDefault="00086666" w:rsidP="00086666">
            <w:pPr>
              <w:pStyle w:val="ListParagraph"/>
              <w:numPr>
                <w:ilvl w:val="1"/>
                <w:numId w:val="1"/>
              </w:numPr>
              <w:ind w:left="851" w:hanging="425"/>
              <w:contextualSpacing/>
              <w:rPr>
                <w:rFonts w:asciiTheme="minorHAnsi" w:hAnsiTheme="minorHAnsi" w:cstheme="minorHAnsi"/>
                <w:color w:val="000000" w:themeColor="text1"/>
                <w:sz w:val="18"/>
                <w:szCs w:val="18"/>
              </w:rPr>
            </w:pPr>
            <w:r w:rsidRPr="00220A20">
              <w:rPr>
                <w:rFonts w:asciiTheme="minorHAnsi" w:hAnsiTheme="minorHAnsi" w:cstheme="minorHAnsi"/>
                <w:color w:val="000000" w:themeColor="text1"/>
                <w:sz w:val="18"/>
                <w:szCs w:val="18"/>
              </w:rPr>
              <w:t>Number / Proportion archived in DACs, and those not</w:t>
            </w:r>
          </w:p>
          <w:p w:rsidR="00086666" w:rsidRPr="00220A20" w:rsidRDefault="00086666" w:rsidP="00086666">
            <w:pPr>
              <w:pStyle w:val="ListParagraph"/>
              <w:numPr>
                <w:ilvl w:val="0"/>
                <w:numId w:val="1"/>
              </w:numPr>
              <w:contextualSpacing/>
              <w:rPr>
                <w:rFonts w:asciiTheme="minorHAnsi" w:hAnsiTheme="minorHAnsi" w:cstheme="minorHAnsi"/>
                <w:color w:val="000000" w:themeColor="text1"/>
                <w:sz w:val="18"/>
                <w:szCs w:val="18"/>
              </w:rPr>
            </w:pPr>
            <w:r w:rsidRPr="00220A20">
              <w:rPr>
                <w:rFonts w:asciiTheme="minorHAnsi" w:hAnsiTheme="minorHAnsi" w:cstheme="minorHAnsi"/>
                <w:color w:val="000000" w:themeColor="text1"/>
                <w:sz w:val="18"/>
                <w:szCs w:val="18"/>
              </w:rPr>
              <w:t>Total No. of data sets with view services</w:t>
            </w:r>
          </w:p>
          <w:p w:rsidR="00086666" w:rsidRPr="00220A20" w:rsidRDefault="00086666" w:rsidP="00086666">
            <w:pPr>
              <w:pStyle w:val="ListParagraph"/>
              <w:numPr>
                <w:ilvl w:val="1"/>
                <w:numId w:val="1"/>
              </w:numPr>
              <w:ind w:left="851" w:hanging="425"/>
              <w:contextualSpacing/>
              <w:rPr>
                <w:rFonts w:asciiTheme="minorHAnsi" w:hAnsiTheme="minorHAnsi" w:cstheme="minorHAnsi"/>
                <w:color w:val="000000" w:themeColor="text1"/>
                <w:sz w:val="18"/>
                <w:szCs w:val="18"/>
              </w:rPr>
            </w:pPr>
            <w:r w:rsidRPr="00220A20">
              <w:rPr>
                <w:rFonts w:asciiTheme="minorHAnsi" w:hAnsiTheme="minorHAnsi" w:cstheme="minorHAnsi"/>
                <w:color w:val="000000" w:themeColor="text1"/>
                <w:sz w:val="18"/>
                <w:szCs w:val="18"/>
              </w:rPr>
              <w:t>Number  of which are INSPIRE compliant - Qualify with target date</w:t>
            </w:r>
          </w:p>
          <w:p w:rsidR="00086666" w:rsidRPr="00220A20" w:rsidRDefault="00086666" w:rsidP="00086666">
            <w:pPr>
              <w:pStyle w:val="ListParagraph"/>
              <w:numPr>
                <w:ilvl w:val="0"/>
                <w:numId w:val="1"/>
              </w:numPr>
              <w:contextualSpacing/>
              <w:rPr>
                <w:rFonts w:asciiTheme="minorHAnsi" w:hAnsiTheme="minorHAnsi" w:cstheme="minorHAnsi"/>
                <w:color w:val="000000" w:themeColor="text1"/>
                <w:sz w:val="18"/>
                <w:szCs w:val="18"/>
              </w:rPr>
            </w:pPr>
            <w:r w:rsidRPr="00220A20">
              <w:rPr>
                <w:rFonts w:asciiTheme="minorHAnsi" w:hAnsiTheme="minorHAnsi" w:cstheme="minorHAnsi"/>
                <w:color w:val="000000" w:themeColor="text1"/>
                <w:sz w:val="18"/>
                <w:szCs w:val="18"/>
              </w:rPr>
              <w:t>Total No. of data sets with download services</w:t>
            </w:r>
          </w:p>
          <w:p w:rsidR="00086666" w:rsidRPr="00220A20" w:rsidRDefault="00086666" w:rsidP="00086666">
            <w:pPr>
              <w:pStyle w:val="ListParagraph"/>
              <w:numPr>
                <w:ilvl w:val="1"/>
                <w:numId w:val="1"/>
              </w:numPr>
              <w:ind w:left="851" w:hanging="425"/>
              <w:contextualSpacing/>
              <w:rPr>
                <w:rFonts w:asciiTheme="minorHAnsi" w:hAnsiTheme="minorHAnsi" w:cstheme="minorHAnsi"/>
                <w:color w:val="000000" w:themeColor="text1"/>
                <w:sz w:val="18"/>
                <w:szCs w:val="18"/>
              </w:rPr>
            </w:pPr>
            <w:r w:rsidRPr="00220A20">
              <w:rPr>
                <w:rFonts w:asciiTheme="minorHAnsi" w:hAnsiTheme="minorHAnsi" w:cstheme="minorHAnsi"/>
                <w:color w:val="000000" w:themeColor="text1"/>
                <w:sz w:val="18"/>
                <w:szCs w:val="18"/>
              </w:rPr>
              <w:t>Number  of which are INSPIRE compliant - Qualify with target date / and lack of available specification</w:t>
            </w:r>
          </w:p>
        </w:tc>
        <w:tc>
          <w:tcPr>
            <w:tcW w:w="4819" w:type="dxa"/>
          </w:tcPr>
          <w:p w:rsidR="00D71BEB" w:rsidRPr="00220A20" w:rsidRDefault="00D71BEB" w:rsidP="00D71BEB">
            <w:pPr>
              <w:contextualSpacing/>
              <w:rPr>
                <w:rFonts w:cstheme="minorHAnsi"/>
                <w:b/>
                <w:sz w:val="18"/>
                <w:szCs w:val="18"/>
              </w:rPr>
            </w:pPr>
            <w:r w:rsidRPr="00220A20">
              <w:rPr>
                <w:rFonts w:cstheme="minorHAnsi"/>
                <w:b/>
                <w:sz w:val="18"/>
                <w:szCs w:val="18"/>
              </w:rPr>
              <w:t>Portal metrics</w:t>
            </w:r>
          </w:p>
          <w:p w:rsidR="00086666" w:rsidRPr="00220A20" w:rsidRDefault="00086666" w:rsidP="00086666">
            <w:pPr>
              <w:pStyle w:val="ListParagraph"/>
              <w:numPr>
                <w:ilvl w:val="0"/>
                <w:numId w:val="1"/>
              </w:numPr>
              <w:contextualSpacing/>
              <w:rPr>
                <w:rFonts w:asciiTheme="minorHAnsi" w:hAnsiTheme="minorHAnsi" w:cstheme="minorHAnsi"/>
                <w:sz w:val="18"/>
                <w:szCs w:val="18"/>
              </w:rPr>
            </w:pPr>
            <w:r w:rsidRPr="00220A20">
              <w:rPr>
                <w:rFonts w:asciiTheme="minorHAnsi" w:hAnsiTheme="minorHAnsi" w:cstheme="minorHAnsi"/>
                <w:sz w:val="18"/>
                <w:szCs w:val="18"/>
              </w:rPr>
              <w:t>Total number of portal metadata records for data held at DAC</w:t>
            </w:r>
          </w:p>
          <w:p w:rsidR="00086666" w:rsidRPr="00220A20" w:rsidRDefault="00086666" w:rsidP="00086666">
            <w:pPr>
              <w:pStyle w:val="ListParagraph"/>
              <w:numPr>
                <w:ilvl w:val="1"/>
                <w:numId w:val="1"/>
              </w:numPr>
              <w:ind w:left="851" w:hanging="425"/>
              <w:contextualSpacing/>
              <w:rPr>
                <w:rFonts w:asciiTheme="minorHAnsi" w:hAnsiTheme="minorHAnsi" w:cstheme="minorHAnsi"/>
                <w:color w:val="000000" w:themeColor="text1"/>
                <w:sz w:val="18"/>
                <w:szCs w:val="18"/>
              </w:rPr>
            </w:pPr>
            <w:r w:rsidRPr="00220A20">
              <w:rPr>
                <w:rFonts w:asciiTheme="minorHAnsi" w:hAnsiTheme="minorHAnsi" w:cstheme="minorHAnsi"/>
                <w:color w:val="000000" w:themeColor="text1"/>
                <w:sz w:val="18"/>
                <w:szCs w:val="18"/>
              </w:rPr>
              <w:t>Dataset</w:t>
            </w:r>
          </w:p>
          <w:p w:rsidR="00086666" w:rsidRPr="00220A20" w:rsidRDefault="00086666" w:rsidP="00086666">
            <w:pPr>
              <w:pStyle w:val="ListParagraph"/>
              <w:numPr>
                <w:ilvl w:val="1"/>
                <w:numId w:val="1"/>
              </w:numPr>
              <w:ind w:left="851" w:hanging="425"/>
              <w:contextualSpacing/>
              <w:rPr>
                <w:rFonts w:asciiTheme="minorHAnsi" w:hAnsiTheme="minorHAnsi" w:cstheme="minorHAnsi"/>
                <w:color w:val="000000" w:themeColor="text1"/>
                <w:sz w:val="18"/>
                <w:szCs w:val="18"/>
              </w:rPr>
            </w:pPr>
            <w:r w:rsidRPr="00220A20">
              <w:rPr>
                <w:rFonts w:asciiTheme="minorHAnsi" w:hAnsiTheme="minorHAnsi" w:cstheme="minorHAnsi"/>
                <w:color w:val="000000" w:themeColor="text1"/>
                <w:sz w:val="18"/>
                <w:szCs w:val="18"/>
              </w:rPr>
              <w:t>Services</w:t>
            </w:r>
          </w:p>
          <w:p w:rsidR="00086666" w:rsidRPr="00220A20" w:rsidRDefault="00086666" w:rsidP="00086666">
            <w:pPr>
              <w:pStyle w:val="ListParagraph"/>
              <w:numPr>
                <w:ilvl w:val="0"/>
                <w:numId w:val="1"/>
              </w:numPr>
              <w:contextualSpacing/>
              <w:rPr>
                <w:rFonts w:asciiTheme="minorHAnsi" w:hAnsiTheme="minorHAnsi" w:cstheme="minorHAnsi"/>
                <w:sz w:val="18"/>
                <w:szCs w:val="18"/>
              </w:rPr>
            </w:pPr>
            <w:r w:rsidRPr="00220A20">
              <w:rPr>
                <w:rFonts w:asciiTheme="minorHAnsi" w:hAnsiTheme="minorHAnsi" w:cstheme="minorHAnsi"/>
                <w:sz w:val="18"/>
                <w:szCs w:val="18"/>
              </w:rPr>
              <w:t>Number of metadata records</w:t>
            </w:r>
            <w:r w:rsidR="002A207C" w:rsidRPr="00220A20">
              <w:rPr>
                <w:rFonts w:asciiTheme="minorHAnsi" w:hAnsiTheme="minorHAnsi" w:cstheme="minorHAnsi"/>
                <w:sz w:val="18"/>
                <w:szCs w:val="18"/>
              </w:rPr>
              <w:t xml:space="preserve"> (for data held at DAC)</w:t>
            </w:r>
            <w:r w:rsidRPr="00220A20">
              <w:rPr>
                <w:rFonts w:asciiTheme="minorHAnsi" w:hAnsiTheme="minorHAnsi" w:cstheme="minorHAnsi"/>
                <w:sz w:val="18"/>
                <w:szCs w:val="18"/>
              </w:rPr>
              <w:t xml:space="preserve"> with online access to data</w:t>
            </w:r>
          </w:p>
          <w:p w:rsidR="002A207C" w:rsidRPr="00220A20" w:rsidRDefault="002A207C" w:rsidP="00086666">
            <w:pPr>
              <w:pStyle w:val="ListParagraph"/>
              <w:numPr>
                <w:ilvl w:val="0"/>
                <w:numId w:val="1"/>
              </w:numPr>
              <w:contextualSpacing/>
              <w:rPr>
                <w:rFonts w:asciiTheme="minorHAnsi" w:hAnsiTheme="minorHAnsi" w:cstheme="minorHAnsi"/>
                <w:sz w:val="18"/>
                <w:szCs w:val="18"/>
              </w:rPr>
            </w:pPr>
            <w:r w:rsidRPr="00220A20">
              <w:rPr>
                <w:rFonts w:asciiTheme="minorHAnsi" w:hAnsiTheme="minorHAnsi" w:cstheme="minorHAnsi"/>
                <w:sz w:val="18"/>
                <w:szCs w:val="18"/>
              </w:rPr>
              <w:t>Number of metadata records (for data held at DAC) with DOI</w:t>
            </w:r>
          </w:p>
        </w:tc>
      </w:tr>
      <w:tr w:rsidR="00086666" w:rsidRPr="00220A20" w:rsidTr="00187B2B">
        <w:tc>
          <w:tcPr>
            <w:tcW w:w="4815" w:type="dxa"/>
          </w:tcPr>
          <w:p w:rsidR="00086666" w:rsidRPr="00220A20" w:rsidRDefault="00086666">
            <w:pPr>
              <w:rPr>
                <w:rFonts w:cstheme="minorHAnsi"/>
                <w:b/>
                <w:sz w:val="18"/>
                <w:szCs w:val="18"/>
              </w:rPr>
            </w:pPr>
            <w:r w:rsidRPr="00220A20">
              <w:rPr>
                <w:rFonts w:cstheme="minorHAnsi"/>
                <w:b/>
                <w:sz w:val="18"/>
                <w:szCs w:val="18"/>
              </w:rPr>
              <w:t>Major new data sets archived</w:t>
            </w:r>
          </w:p>
          <w:p w:rsidR="00FA7E2F" w:rsidRPr="00220A20" w:rsidRDefault="00FA7E2F">
            <w:pPr>
              <w:rPr>
                <w:rFonts w:cstheme="minorHAnsi"/>
                <w:b/>
                <w:sz w:val="18"/>
                <w:szCs w:val="18"/>
              </w:rPr>
            </w:pPr>
          </w:p>
        </w:tc>
        <w:tc>
          <w:tcPr>
            <w:tcW w:w="4819" w:type="dxa"/>
          </w:tcPr>
          <w:p w:rsidR="00FA7E2F" w:rsidRPr="00220A20" w:rsidRDefault="00FA7E2F" w:rsidP="00FA7E2F">
            <w:pPr>
              <w:rPr>
                <w:rFonts w:cstheme="minorHAnsi"/>
                <w:b/>
                <w:sz w:val="18"/>
                <w:szCs w:val="18"/>
              </w:rPr>
            </w:pPr>
            <w:r w:rsidRPr="00220A20">
              <w:rPr>
                <w:rFonts w:cstheme="minorHAnsi"/>
                <w:b/>
                <w:sz w:val="18"/>
                <w:szCs w:val="18"/>
              </w:rPr>
              <w:t>Summary of DAC highlights in year</w:t>
            </w:r>
          </w:p>
          <w:p w:rsidR="00FA7E2F" w:rsidRPr="00220A20" w:rsidRDefault="00FA7E2F" w:rsidP="00FA7E2F">
            <w:pPr>
              <w:pStyle w:val="ListParagraph"/>
              <w:numPr>
                <w:ilvl w:val="0"/>
                <w:numId w:val="4"/>
              </w:numPr>
              <w:spacing w:after="160" w:line="259" w:lineRule="auto"/>
              <w:contextualSpacing/>
              <w:rPr>
                <w:rFonts w:asciiTheme="minorHAnsi" w:hAnsiTheme="minorHAnsi" w:cstheme="minorHAnsi"/>
                <w:sz w:val="18"/>
                <w:szCs w:val="18"/>
              </w:rPr>
            </w:pPr>
            <w:r w:rsidRPr="00220A20">
              <w:rPr>
                <w:rFonts w:asciiTheme="minorHAnsi" w:hAnsiTheme="minorHAnsi" w:cstheme="minorHAnsi"/>
                <w:sz w:val="18"/>
                <w:szCs w:val="18"/>
              </w:rPr>
              <w:t>Major new datasets archived, developments, capabilities, projects, funding streams</w:t>
            </w:r>
          </w:p>
          <w:p w:rsidR="00086666" w:rsidRPr="00220A20" w:rsidRDefault="00086666" w:rsidP="00E0783E">
            <w:pPr>
              <w:rPr>
                <w:rFonts w:cstheme="minorHAnsi"/>
                <w:sz w:val="18"/>
                <w:szCs w:val="18"/>
              </w:rPr>
            </w:pPr>
          </w:p>
        </w:tc>
      </w:tr>
      <w:tr w:rsidR="00086666" w:rsidRPr="00220A20" w:rsidTr="00187B2B">
        <w:tc>
          <w:tcPr>
            <w:tcW w:w="4815" w:type="dxa"/>
          </w:tcPr>
          <w:p w:rsidR="00086666" w:rsidRPr="00220A20" w:rsidRDefault="00086666">
            <w:pPr>
              <w:rPr>
                <w:rFonts w:cstheme="minorHAnsi"/>
                <w:b/>
                <w:sz w:val="18"/>
                <w:szCs w:val="18"/>
              </w:rPr>
            </w:pPr>
            <w:r w:rsidRPr="00220A20">
              <w:rPr>
                <w:rFonts w:cstheme="minorHAnsi"/>
                <w:b/>
                <w:sz w:val="18"/>
                <w:szCs w:val="18"/>
              </w:rPr>
              <w:t>Information on data sets accessed / queries received:</w:t>
            </w:r>
          </w:p>
          <w:p w:rsidR="00086666" w:rsidRPr="00220A20" w:rsidRDefault="00086666" w:rsidP="00086666">
            <w:pPr>
              <w:pStyle w:val="ListParagraph"/>
              <w:numPr>
                <w:ilvl w:val="0"/>
                <w:numId w:val="1"/>
              </w:numPr>
              <w:spacing w:after="200"/>
              <w:contextualSpacing/>
              <w:rPr>
                <w:rFonts w:asciiTheme="minorHAnsi" w:hAnsiTheme="minorHAnsi" w:cstheme="minorHAnsi"/>
                <w:color w:val="000000" w:themeColor="text1"/>
                <w:sz w:val="18"/>
                <w:szCs w:val="18"/>
              </w:rPr>
            </w:pPr>
            <w:r w:rsidRPr="00220A20">
              <w:rPr>
                <w:rFonts w:asciiTheme="minorHAnsi" w:hAnsiTheme="minorHAnsi" w:cstheme="minorHAnsi"/>
                <w:color w:val="000000" w:themeColor="text1"/>
                <w:sz w:val="18"/>
                <w:szCs w:val="18"/>
              </w:rPr>
              <w:t>No. of requests for data sets received (if possible MEDIN data only)</w:t>
            </w:r>
          </w:p>
          <w:p w:rsidR="00086666" w:rsidRPr="00220A20" w:rsidRDefault="00086666" w:rsidP="00086666">
            <w:pPr>
              <w:pStyle w:val="ListParagraph"/>
              <w:numPr>
                <w:ilvl w:val="1"/>
                <w:numId w:val="1"/>
              </w:numPr>
              <w:spacing w:after="200"/>
              <w:ind w:left="851" w:hanging="425"/>
              <w:contextualSpacing/>
              <w:rPr>
                <w:rFonts w:asciiTheme="minorHAnsi" w:hAnsiTheme="minorHAnsi" w:cstheme="minorHAnsi"/>
                <w:color w:val="000000" w:themeColor="text1"/>
                <w:sz w:val="18"/>
                <w:szCs w:val="18"/>
              </w:rPr>
            </w:pPr>
            <w:r w:rsidRPr="00220A20">
              <w:rPr>
                <w:rFonts w:asciiTheme="minorHAnsi" w:hAnsiTheme="minorHAnsi" w:cstheme="minorHAnsi"/>
                <w:color w:val="000000" w:themeColor="text1"/>
                <w:sz w:val="18"/>
                <w:szCs w:val="18"/>
              </w:rPr>
              <w:t>No. of referrals/downloads from the portal</w:t>
            </w:r>
          </w:p>
          <w:p w:rsidR="00086666" w:rsidRPr="00220A20" w:rsidRDefault="00086666" w:rsidP="00086666">
            <w:pPr>
              <w:pStyle w:val="ListParagraph"/>
              <w:numPr>
                <w:ilvl w:val="1"/>
                <w:numId w:val="1"/>
              </w:numPr>
              <w:spacing w:after="200"/>
              <w:ind w:left="851" w:hanging="425"/>
              <w:contextualSpacing/>
              <w:rPr>
                <w:rFonts w:asciiTheme="minorHAnsi" w:hAnsiTheme="minorHAnsi" w:cstheme="minorHAnsi"/>
                <w:color w:val="000000" w:themeColor="text1"/>
                <w:sz w:val="18"/>
                <w:szCs w:val="18"/>
              </w:rPr>
            </w:pPr>
            <w:r w:rsidRPr="00220A20">
              <w:rPr>
                <w:rFonts w:asciiTheme="minorHAnsi" w:hAnsiTheme="minorHAnsi" w:cstheme="minorHAnsi"/>
                <w:color w:val="000000" w:themeColor="text1"/>
                <w:sz w:val="18"/>
                <w:szCs w:val="18"/>
              </w:rPr>
              <w:t>Sub-divided by organisation type, location if possible (see Annex 1)</w:t>
            </w:r>
          </w:p>
          <w:p w:rsidR="00086666" w:rsidRPr="00220A20" w:rsidRDefault="007E720A" w:rsidP="00086666">
            <w:pPr>
              <w:pStyle w:val="ListParagraph"/>
              <w:numPr>
                <w:ilvl w:val="0"/>
                <w:numId w:val="1"/>
              </w:numPr>
              <w:spacing w:after="200"/>
              <w:contextualSpacing/>
              <w:rPr>
                <w:rFonts w:asciiTheme="minorHAnsi" w:hAnsiTheme="minorHAnsi" w:cstheme="minorHAnsi"/>
                <w:sz w:val="18"/>
                <w:szCs w:val="18"/>
              </w:rPr>
            </w:pPr>
            <w:hyperlink r:id="rId5" w:anchor="members" w:history="1">
              <w:r w:rsidR="00086666" w:rsidRPr="00220A20">
                <w:rPr>
                  <w:rStyle w:val="Hyperlink"/>
                  <w:rFonts w:asciiTheme="minorHAnsi" w:hAnsiTheme="minorHAnsi" w:cstheme="minorHAnsi"/>
                  <w:sz w:val="18"/>
                  <w:szCs w:val="18"/>
                </w:rPr>
                <w:t xml:space="preserve">MSCC Organisations </w:t>
              </w:r>
            </w:hyperlink>
            <w:r w:rsidR="00086666" w:rsidRPr="00220A20">
              <w:rPr>
                <w:rFonts w:asciiTheme="minorHAnsi" w:hAnsiTheme="minorHAnsi" w:cstheme="minorHAnsi"/>
                <w:color w:val="000000" w:themeColor="text1"/>
                <w:sz w:val="18"/>
                <w:szCs w:val="18"/>
              </w:rPr>
              <w:t xml:space="preserve"> / </w:t>
            </w:r>
            <w:hyperlink w:anchor="MEDINSponsors" w:tooltip="DEFRA, NERC, Marine Scotland, DECC, Met Office, NRW, MMO, MCA, The Crown Estate, UKHO, HR Wallingford, JNCC, NIEA, AFBI, Cefas" w:history="1">
              <w:r w:rsidR="00086666" w:rsidRPr="00220A20">
                <w:rPr>
                  <w:rStyle w:val="Hyperlink"/>
                  <w:rFonts w:asciiTheme="minorHAnsi" w:hAnsiTheme="minorHAnsi" w:cstheme="minorHAnsi"/>
                  <w:sz w:val="18"/>
                  <w:szCs w:val="18"/>
                </w:rPr>
                <w:t>MEDIN Sponsors</w:t>
              </w:r>
            </w:hyperlink>
            <w:r w:rsidR="00086666" w:rsidRPr="00220A20">
              <w:rPr>
                <w:rFonts w:asciiTheme="minorHAnsi" w:hAnsiTheme="minorHAnsi" w:cstheme="minorHAnsi"/>
                <w:color w:val="000000" w:themeColor="text1"/>
                <w:sz w:val="18"/>
                <w:szCs w:val="18"/>
              </w:rPr>
              <w:t xml:space="preserve"> with data archived at DAC</w:t>
            </w:r>
          </w:p>
          <w:p w:rsidR="00086666" w:rsidRPr="00220A20" w:rsidRDefault="00086666" w:rsidP="00086666">
            <w:pPr>
              <w:pStyle w:val="ListParagraph"/>
              <w:numPr>
                <w:ilvl w:val="0"/>
                <w:numId w:val="1"/>
              </w:numPr>
              <w:spacing w:after="200"/>
              <w:contextualSpacing/>
              <w:rPr>
                <w:rFonts w:asciiTheme="minorHAnsi" w:hAnsiTheme="minorHAnsi" w:cstheme="minorHAnsi"/>
                <w:sz w:val="18"/>
                <w:szCs w:val="18"/>
              </w:rPr>
            </w:pPr>
            <w:r w:rsidRPr="00220A20">
              <w:rPr>
                <w:rFonts w:asciiTheme="minorHAnsi" w:hAnsiTheme="minorHAnsi" w:cstheme="minorHAnsi"/>
                <w:color w:val="000000" w:themeColor="text1"/>
                <w:sz w:val="18"/>
                <w:szCs w:val="18"/>
              </w:rPr>
              <w:t>No. of page views of DAC web page</w:t>
            </w:r>
          </w:p>
        </w:tc>
        <w:tc>
          <w:tcPr>
            <w:tcW w:w="4819" w:type="dxa"/>
          </w:tcPr>
          <w:p w:rsidR="00D71BEB" w:rsidRPr="00220A20" w:rsidRDefault="00D71BEB" w:rsidP="00D71BEB">
            <w:pPr>
              <w:rPr>
                <w:rFonts w:cstheme="minorHAnsi"/>
                <w:b/>
                <w:sz w:val="18"/>
                <w:szCs w:val="18"/>
              </w:rPr>
            </w:pPr>
            <w:r w:rsidRPr="00220A20">
              <w:rPr>
                <w:rFonts w:cstheme="minorHAnsi"/>
                <w:b/>
                <w:sz w:val="18"/>
                <w:szCs w:val="18"/>
              </w:rPr>
              <w:t>Use of DAC</w:t>
            </w:r>
          </w:p>
          <w:p w:rsidR="00086666" w:rsidRPr="00220A20" w:rsidRDefault="00086666" w:rsidP="00086666">
            <w:pPr>
              <w:pStyle w:val="ListParagraph"/>
              <w:numPr>
                <w:ilvl w:val="0"/>
                <w:numId w:val="1"/>
              </w:numPr>
              <w:rPr>
                <w:rFonts w:asciiTheme="minorHAnsi" w:hAnsiTheme="minorHAnsi" w:cstheme="minorHAnsi"/>
                <w:sz w:val="18"/>
                <w:szCs w:val="18"/>
              </w:rPr>
            </w:pPr>
            <w:r w:rsidRPr="00220A20">
              <w:rPr>
                <w:rFonts w:asciiTheme="minorHAnsi" w:hAnsiTheme="minorHAnsi" w:cstheme="minorHAnsi"/>
                <w:sz w:val="18"/>
                <w:szCs w:val="18"/>
              </w:rPr>
              <w:t>Number of requests for data (and narrative with method of estimate)</w:t>
            </w:r>
          </w:p>
          <w:p w:rsidR="00086666" w:rsidRPr="00220A20" w:rsidRDefault="001C50A6" w:rsidP="00086666">
            <w:pPr>
              <w:pStyle w:val="ListParagraph"/>
              <w:numPr>
                <w:ilvl w:val="1"/>
                <w:numId w:val="1"/>
              </w:numPr>
              <w:ind w:left="851" w:hanging="425"/>
              <w:contextualSpacing/>
              <w:rPr>
                <w:rFonts w:asciiTheme="minorHAnsi" w:hAnsiTheme="minorHAnsi" w:cstheme="minorHAnsi"/>
                <w:sz w:val="18"/>
                <w:szCs w:val="18"/>
              </w:rPr>
            </w:pPr>
            <w:r w:rsidRPr="00220A20">
              <w:rPr>
                <w:rFonts w:asciiTheme="minorHAnsi" w:hAnsiTheme="minorHAnsi" w:cstheme="minorHAnsi"/>
                <w:sz w:val="18"/>
                <w:szCs w:val="18"/>
              </w:rPr>
              <w:t>Confirm if reporting data points or data sets</w:t>
            </w:r>
          </w:p>
          <w:p w:rsidR="00E0783E" w:rsidRPr="00220A20" w:rsidRDefault="00E0783E" w:rsidP="00086666">
            <w:pPr>
              <w:pStyle w:val="ListParagraph"/>
              <w:numPr>
                <w:ilvl w:val="0"/>
                <w:numId w:val="1"/>
              </w:numPr>
              <w:rPr>
                <w:rFonts w:asciiTheme="minorHAnsi" w:hAnsiTheme="minorHAnsi" w:cstheme="minorHAnsi"/>
                <w:sz w:val="18"/>
                <w:szCs w:val="18"/>
              </w:rPr>
            </w:pPr>
            <w:r w:rsidRPr="00220A20">
              <w:rPr>
                <w:rFonts w:asciiTheme="minorHAnsi" w:hAnsiTheme="minorHAnsi" w:cstheme="minorHAnsi"/>
                <w:sz w:val="18"/>
                <w:szCs w:val="18"/>
              </w:rPr>
              <w:t xml:space="preserve">Number of </w:t>
            </w:r>
            <w:hyperlink r:id="rId6" w:anchor="members" w:history="1">
              <w:r w:rsidRPr="00220A20">
                <w:rPr>
                  <w:rStyle w:val="Hyperlink"/>
                  <w:rFonts w:asciiTheme="minorHAnsi" w:hAnsiTheme="minorHAnsi" w:cstheme="minorHAnsi"/>
                  <w:sz w:val="18"/>
                  <w:szCs w:val="18"/>
                </w:rPr>
                <w:t>MSCC Organisations</w:t>
              </w:r>
            </w:hyperlink>
            <w:r w:rsidRPr="00220A20">
              <w:rPr>
                <w:rFonts w:asciiTheme="minorHAnsi" w:hAnsiTheme="minorHAnsi" w:cstheme="minorHAnsi"/>
                <w:color w:val="000000" w:themeColor="text1"/>
                <w:sz w:val="18"/>
                <w:szCs w:val="18"/>
              </w:rPr>
              <w:t>/</w:t>
            </w:r>
            <w:hyperlink w:anchor="MEDINSponsors" w:tooltip="DEFRA, NERC, Marine Scotland, DECC, Met Office, NRW, MMO, MCA, The Crown Estate, UKHO, HR Wallingford, JNCC, NIEA, AFBI, Cefas" w:history="1">
              <w:r w:rsidRPr="00220A20">
                <w:rPr>
                  <w:rStyle w:val="Hyperlink"/>
                  <w:rFonts w:asciiTheme="minorHAnsi" w:hAnsiTheme="minorHAnsi" w:cstheme="minorHAnsi"/>
                  <w:sz w:val="18"/>
                  <w:szCs w:val="18"/>
                </w:rPr>
                <w:t>MEDIN Sponsors</w:t>
              </w:r>
            </w:hyperlink>
            <w:r w:rsidRPr="00220A20">
              <w:rPr>
                <w:rFonts w:asciiTheme="minorHAnsi" w:hAnsiTheme="minorHAnsi" w:cstheme="minorHAnsi"/>
                <w:sz w:val="18"/>
                <w:szCs w:val="18"/>
              </w:rPr>
              <w:t xml:space="preserve"> with data archived at DAC</w:t>
            </w:r>
          </w:p>
          <w:p w:rsidR="00086666" w:rsidRPr="00220A20" w:rsidRDefault="00086666" w:rsidP="00E0783E">
            <w:pPr>
              <w:pStyle w:val="ListParagraph"/>
              <w:ind w:left="360"/>
              <w:rPr>
                <w:rFonts w:asciiTheme="minorHAnsi" w:hAnsiTheme="minorHAnsi" w:cstheme="minorHAnsi"/>
                <w:sz w:val="18"/>
                <w:szCs w:val="18"/>
              </w:rPr>
            </w:pPr>
          </w:p>
        </w:tc>
      </w:tr>
      <w:tr w:rsidR="00086666" w:rsidRPr="00220A20" w:rsidTr="00187B2B">
        <w:tc>
          <w:tcPr>
            <w:tcW w:w="4815" w:type="dxa"/>
          </w:tcPr>
          <w:p w:rsidR="00086666" w:rsidRPr="00220A20" w:rsidRDefault="00086666">
            <w:pPr>
              <w:rPr>
                <w:rFonts w:cstheme="minorHAnsi"/>
                <w:b/>
                <w:sz w:val="18"/>
                <w:szCs w:val="18"/>
              </w:rPr>
            </w:pPr>
            <w:r w:rsidRPr="00220A20">
              <w:rPr>
                <w:rFonts w:cstheme="minorHAnsi"/>
                <w:b/>
                <w:sz w:val="18"/>
                <w:szCs w:val="18"/>
              </w:rPr>
              <w:t>Data Mobilisation Exchange and Sharing</w:t>
            </w:r>
            <w:r w:rsidR="00187B2B" w:rsidRPr="00220A20">
              <w:rPr>
                <w:rFonts w:cstheme="minorHAnsi"/>
                <w:b/>
                <w:sz w:val="18"/>
                <w:szCs w:val="18"/>
              </w:rPr>
              <w:t>:</w:t>
            </w:r>
          </w:p>
          <w:p w:rsidR="00086666" w:rsidRPr="00220A20" w:rsidRDefault="00086666" w:rsidP="00086666">
            <w:pPr>
              <w:numPr>
                <w:ilvl w:val="0"/>
                <w:numId w:val="2"/>
              </w:numPr>
              <w:spacing w:before="40"/>
              <w:ind w:left="448" w:hanging="357"/>
              <w:rPr>
                <w:rFonts w:cstheme="minorHAnsi"/>
                <w:color w:val="000000"/>
                <w:sz w:val="18"/>
                <w:szCs w:val="18"/>
              </w:rPr>
            </w:pPr>
            <w:r w:rsidRPr="00220A20">
              <w:rPr>
                <w:rFonts w:cstheme="minorHAnsi"/>
                <w:color w:val="000000"/>
                <w:sz w:val="18"/>
                <w:szCs w:val="18"/>
              </w:rPr>
              <w:t xml:space="preserve">A statement on data dissemination: </w:t>
            </w:r>
          </w:p>
          <w:p w:rsidR="00086666" w:rsidRPr="00220A20" w:rsidRDefault="00086666" w:rsidP="00086666">
            <w:pPr>
              <w:numPr>
                <w:ilvl w:val="1"/>
                <w:numId w:val="2"/>
              </w:numPr>
              <w:tabs>
                <w:tab w:val="clear" w:pos="1440"/>
              </w:tabs>
              <w:ind w:left="884" w:hanging="425"/>
              <w:rPr>
                <w:rFonts w:cstheme="minorHAnsi"/>
                <w:color w:val="000000"/>
                <w:sz w:val="18"/>
                <w:szCs w:val="18"/>
              </w:rPr>
            </w:pPr>
            <w:r w:rsidRPr="00220A20">
              <w:rPr>
                <w:rFonts w:cstheme="minorHAnsi"/>
                <w:color w:val="000000"/>
                <w:sz w:val="18"/>
                <w:szCs w:val="18"/>
              </w:rPr>
              <w:t xml:space="preserve">How </w:t>
            </w:r>
            <w:proofErr w:type="gramStart"/>
            <w:r w:rsidRPr="00220A20">
              <w:rPr>
                <w:rFonts w:cstheme="minorHAnsi"/>
                <w:color w:val="000000"/>
                <w:sz w:val="18"/>
                <w:szCs w:val="18"/>
              </w:rPr>
              <w:t>are datasets</w:t>
            </w:r>
            <w:proofErr w:type="gramEnd"/>
            <w:r w:rsidRPr="00220A20">
              <w:rPr>
                <w:rFonts w:cstheme="minorHAnsi"/>
                <w:color w:val="000000"/>
                <w:sz w:val="18"/>
                <w:szCs w:val="18"/>
              </w:rPr>
              <w:t xml:space="preserve"> currently served? </w:t>
            </w:r>
          </w:p>
          <w:p w:rsidR="00086666" w:rsidRPr="00220A20" w:rsidRDefault="00086666" w:rsidP="00086666">
            <w:pPr>
              <w:numPr>
                <w:ilvl w:val="1"/>
                <w:numId w:val="2"/>
              </w:numPr>
              <w:tabs>
                <w:tab w:val="clear" w:pos="1440"/>
              </w:tabs>
              <w:ind w:left="884" w:hanging="425"/>
              <w:rPr>
                <w:rFonts w:cstheme="minorHAnsi"/>
                <w:color w:val="000000"/>
                <w:sz w:val="18"/>
                <w:szCs w:val="18"/>
              </w:rPr>
            </w:pPr>
            <w:r w:rsidRPr="00220A20">
              <w:rPr>
                <w:rFonts w:cstheme="minorHAnsi"/>
                <w:color w:val="000000"/>
                <w:sz w:val="18"/>
                <w:szCs w:val="18"/>
              </w:rPr>
              <w:t xml:space="preserve">How do these mechanisms link with the MEDIN portal? </w:t>
            </w:r>
          </w:p>
          <w:p w:rsidR="00086666" w:rsidRPr="00220A20" w:rsidRDefault="00086666" w:rsidP="00086666">
            <w:pPr>
              <w:numPr>
                <w:ilvl w:val="0"/>
                <w:numId w:val="2"/>
              </w:numPr>
              <w:ind w:left="453"/>
              <w:rPr>
                <w:rFonts w:cstheme="minorHAnsi"/>
                <w:color w:val="000000"/>
                <w:sz w:val="18"/>
                <w:szCs w:val="18"/>
              </w:rPr>
            </w:pPr>
            <w:r w:rsidRPr="00220A20">
              <w:rPr>
                <w:rFonts w:cstheme="minorHAnsi"/>
                <w:color w:val="000000"/>
                <w:sz w:val="18"/>
                <w:szCs w:val="18"/>
              </w:rPr>
              <w:t>What new data sets have become available on line in the last year?</w:t>
            </w:r>
          </w:p>
          <w:p w:rsidR="00086666" w:rsidRPr="00220A20" w:rsidRDefault="00086666" w:rsidP="00086666">
            <w:pPr>
              <w:numPr>
                <w:ilvl w:val="0"/>
                <w:numId w:val="2"/>
              </w:numPr>
              <w:ind w:left="453"/>
              <w:rPr>
                <w:rFonts w:cstheme="minorHAnsi"/>
                <w:color w:val="000000"/>
                <w:sz w:val="18"/>
                <w:szCs w:val="18"/>
              </w:rPr>
            </w:pPr>
            <w:r w:rsidRPr="00220A20">
              <w:rPr>
                <w:rFonts w:cstheme="minorHAnsi"/>
                <w:color w:val="000000"/>
                <w:sz w:val="18"/>
                <w:szCs w:val="18"/>
              </w:rPr>
              <w:t>New data sets mobilised to 3</w:t>
            </w:r>
            <w:r w:rsidRPr="00220A20">
              <w:rPr>
                <w:rFonts w:cstheme="minorHAnsi"/>
                <w:color w:val="000000"/>
                <w:sz w:val="18"/>
                <w:szCs w:val="18"/>
                <w:vertAlign w:val="superscript"/>
              </w:rPr>
              <w:t>rd</w:t>
            </w:r>
            <w:r w:rsidRPr="00220A20">
              <w:rPr>
                <w:rFonts w:cstheme="minorHAnsi"/>
                <w:color w:val="000000"/>
                <w:sz w:val="18"/>
                <w:szCs w:val="18"/>
              </w:rPr>
              <w:t xml:space="preserve"> party gateways and key initiatives</w:t>
            </w:r>
          </w:p>
          <w:p w:rsidR="00187B2B" w:rsidRPr="00220A20" w:rsidRDefault="00086666" w:rsidP="00086666">
            <w:pPr>
              <w:numPr>
                <w:ilvl w:val="0"/>
                <w:numId w:val="2"/>
              </w:numPr>
              <w:ind w:left="453"/>
              <w:rPr>
                <w:rFonts w:cstheme="minorHAnsi"/>
                <w:color w:val="000000"/>
                <w:sz w:val="18"/>
                <w:szCs w:val="18"/>
              </w:rPr>
            </w:pPr>
            <w:r w:rsidRPr="00220A20">
              <w:rPr>
                <w:rFonts w:cstheme="minorHAnsi"/>
                <w:color w:val="000000"/>
                <w:sz w:val="18"/>
                <w:szCs w:val="18"/>
              </w:rPr>
              <w:t>Summary of any improvements to access arrangements</w:t>
            </w:r>
          </w:p>
          <w:p w:rsidR="00086666" w:rsidRPr="00220A20" w:rsidRDefault="00086666" w:rsidP="00086666">
            <w:pPr>
              <w:numPr>
                <w:ilvl w:val="0"/>
                <w:numId w:val="2"/>
              </w:numPr>
              <w:ind w:left="453"/>
              <w:rPr>
                <w:rFonts w:cstheme="minorHAnsi"/>
                <w:color w:val="000000"/>
                <w:sz w:val="18"/>
                <w:szCs w:val="18"/>
              </w:rPr>
            </w:pPr>
            <w:r w:rsidRPr="00220A20">
              <w:rPr>
                <w:rFonts w:cstheme="minorHAnsi"/>
                <w:color w:val="000000"/>
                <w:sz w:val="18"/>
                <w:szCs w:val="18"/>
              </w:rPr>
              <w:t>Statement describing any licensing restrictions on data sets held</w:t>
            </w:r>
          </w:p>
        </w:tc>
        <w:tc>
          <w:tcPr>
            <w:tcW w:w="4819" w:type="dxa"/>
          </w:tcPr>
          <w:p w:rsidR="00086666" w:rsidRPr="00220A20" w:rsidRDefault="00FA7E2F" w:rsidP="00FA7E2F">
            <w:pPr>
              <w:spacing w:after="160" w:line="259" w:lineRule="auto"/>
              <w:contextualSpacing/>
              <w:rPr>
                <w:rFonts w:cstheme="minorHAnsi"/>
                <w:b/>
                <w:sz w:val="18"/>
                <w:szCs w:val="18"/>
              </w:rPr>
            </w:pPr>
            <w:r w:rsidRPr="00220A20">
              <w:rPr>
                <w:rFonts w:cstheme="minorHAnsi"/>
                <w:b/>
                <w:sz w:val="18"/>
                <w:szCs w:val="18"/>
              </w:rPr>
              <w:t>Data Dissemination</w:t>
            </w:r>
          </w:p>
          <w:p w:rsidR="00FA7E2F" w:rsidRPr="00220A20" w:rsidRDefault="00FA7E2F" w:rsidP="00FA7E2F">
            <w:pPr>
              <w:pStyle w:val="ListParagraph"/>
              <w:numPr>
                <w:ilvl w:val="0"/>
                <w:numId w:val="10"/>
              </w:numPr>
              <w:contextualSpacing/>
              <w:rPr>
                <w:rFonts w:cstheme="minorHAnsi"/>
                <w:sz w:val="18"/>
                <w:szCs w:val="18"/>
              </w:rPr>
            </w:pPr>
            <w:r w:rsidRPr="00220A20">
              <w:rPr>
                <w:rFonts w:cstheme="minorHAnsi"/>
                <w:sz w:val="18"/>
                <w:szCs w:val="18"/>
              </w:rPr>
              <w:t>Describe how datasets are currently disseminated by DAC</w:t>
            </w:r>
          </w:p>
          <w:p w:rsidR="00FA7E2F" w:rsidRPr="00220A20" w:rsidRDefault="00FA7E2F" w:rsidP="00FA7E2F">
            <w:pPr>
              <w:pStyle w:val="ListParagraph"/>
              <w:numPr>
                <w:ilvl w:val="0"/>
                <w:numId w:val="10"/>
              </w:numPr>
              <w:contextualSpacing/>
              <w:rPr>
                <w:rFonts w:cstheme="minorHAnsi"/>
                <w:sz w:val="18"/>
                <w:szCs w:val="18"/>
              </w:rPr>
            </w:pPr>
            <w:r w:rsidRPr="00220A20">
              <w:rPr>
                <w:rFonts w:cstheme="minorHAnsi"/>
                <w:sz w:val="18"/>
                <w:szCs w:val="18"/>
              </w:rPr>
              <w:t>Describe any improvements to access</w:t>
            </w:r>
          </w:p>
          <w:p w:rsidR="00FA7E2F" w:rsidRPr="00220A20" w:rsidRDefault="00FA7E2F" w:rsidP="00FA7E2F">
            <w:pPr>
              <w:pStyle w:val="ListParagraph"/>
              <w:numPr>
                <w:ilvl w:val="0"/>
                <w:numId w:val="10"/>
              </w:numPr>
              <w:contextualSpacing/>
              <w:rPr>
                <w:rFonts w:cstheme="minorHAnsi"/>
                <w:sz w:val="18"/>
                <w:szCs w:val="18"/>
              </w:rPr>
            </w:pPr>
            <w:r w:rsidRPr="00220A20">
              <w:rPr>
                <w:rFonts w:cstheme="minorHAnsi"/>
                <w:sz w:val="18"/>
                <w:szCs w:val="18"/>
              </w:rPr>
              <w:t>List any third party portals that the data are made available through</w:t>
            </w:r>
          </w:p>
          <w:p w:rsidR="00FA7E2F" w:rsidRPr="00220A20" w:rsidRDefault="001C50A6" w:rsidP="00FA7E2F">
            <w:pPr>
              <w:pStyle w:val="ListParagraph"/>
              <w:numPr>
                <w:ilvl w:val="0"/>
                <w:numId w:val="10"/>
              </w:numPr>
              <w:contextualSpacing/>
              <w:rPr>
                <w:rFonts w:cstheme="minorHAnsi"/>
                <w:sz w:val="18"/>
                <w:szCs w:val="18"/>
              </w:rPr>
            </w:pPr>
            <w:r w:rsidRPr="00220A20">
              <w:rPr>
                <w:rFonts w:cstheme="minorHAnsi"/>
                <w:sz w:val="18"/>
                <w:szCs w:val="18"/>
              </w:rPr>
              <w:t>Summarise</w:t>
            </w:r>
            <w:r w:rsidR="00FA7E2F" w:rsidRPr="00220A20">
              <w:rPr>
                <w:rFonts w:cstheme="minorHAnsi"/>
                <w:sz w:val="18"/>
                <w:szCs w:val="18"/>
              </w:rPr>
              <w:t xml:space="preserve"> data licensing arrangements</w:t>
            </w:r>
          </w:p>
          <w:p w:rsidR="00FA7E2F" w:rsidRPr="00220A20" w:rsidRDefault="00FA7E2F" w:rsidP="00FA7E2F">
            <w:pPr>
              <w:spacing w:after="160" w:line="259" w:lineRule="auto"/>
              <w:contextualSpacing/>
              <w:rPr>
                <w:rFonts w:cstheme="minorHAnsi"/>
                <w:sz w:val="18"/>
                <w:szCs w:val="18"/>
              </w:rPr>
            </w:pPr>
          </w:p>
        </w:tc>
      </w:tr>
      <w:tr w:rsidR="00086666" w:rsidRPr="00220A20" w:rsidTr="00187B2B">
        <w:tc>
          <w:tcPr>
            <w:tcW w:w="4815" w:type="dxa"/>
            <w:vAlign w:val="center"/>
          </w:tcPr>
          <w:p w:rsidR="00086666" w:rsidRPr="00220A20" w:rsidRDefault="00086666" w:rsidP="00086666">
            <w:pPr>
              <w:spacing w:before="40"/>
              <w:ind w:left="91"/>
              <w:rPr>
                <w:rFonts w:cstheme="minorHAnsi"/>
                <w:b/>
                <w:color w:val="000000"/>
                <w:sz w:val="18"/>
                <w:szCs w:val="18"/>
              </w:rPr>
            </w:pPr>
            <w:r w:rsidRPr="00220A20">
              <w:rPr>
                <w:rFonts w:cstheme="minorHAnsi"/>
                <w:b/>
                <w:sz w:val="18"/>
                <w:szCs w:val="18"/>
              </w:rPr>
              <w:t>Data Standards and Data Quality</w:t>
            </w:r>
          </w:p>
          <w:p w:rsidR="00086666" w:rsidRPr="00220A20" w:rsidRDefault="00086666" w:rsidP="00086666">
            <w:pPr>
              <w:pStyle w:val="ListParagraph"/>
              <w:numPr>
                <w:ilvl w:val="0"/>
                <w:numId w:val="1"/>
              </w:numPr>
              <w:spacing w:before="40"/>
              <w:ind w:left="448" w:hanging="357"/>
              <w:rPr>
                <w:rFonts w:asciiTheme="minorHAnsi" w:hAnsiTheme="minorHAnsi" w:cstheme="minorHAnsi"/>
                <w:color w:val="000000"/>
                <w:sz w:val="18"/>
                <w:szCs w:val="18"/>
              </w:rPr>
            </w:pPr>
            <w:r w:rsidRPr="00220A20">
              <w:rPr>
                <w:rFonts w:asciiTheme="minorHAnsi" w:hAnsiTheme="minorHAnsi" w:cstheme="minorHAnsi"/>
                <w:color w:val="000000"/>
                <w:sz w:val="18"/>
                <w:szCs w:val="18"/>
              </w:rPr>
              <w:lastRenderedPageBreak/>
              <w:t>No. of new data sets prepared using MEDIN data guidelines</w:t>
            </w:r>
          </w:p>
          <w:p w:rsidR="00086666" w:rsidRPr="00220A20" w:rsidRDefault="00086666" w:rsidP="00086666">
            <w:pPr>
              <w:pStyle w:val="ListParagraph"/>
              <w:numPr>
                <w:ilvl w:val="0"/>
                <w:numId w:val="1"/>
              </w:numPr>
              <w:spacing w:after="40"/>
              <w:ind w:left="448" w:hanging="357"/>
              <w:rPr>
                <w:rFonts w:asciiTheme="minorHAnsi" w:hAnsiTheme="minorHAnsi" w:cstheme="minorHAnsi"/>
                <w:color w:val="000000"/>
                <w:sz w:val="18"/>
                <w:szCs w:val="18"/>
              </w:rPr>
            </w:pPr>
            <w:r w:rsidRPr="00220A20">
              <w:rPr>
                <w:rFonts w:asciiTheme="minorHAnsi" w:hAnsiTheme="minorHAnsi" w:cstheme="minorHAnsi"/>
                <w:color w:val="000000"/>
                <w:sz w:val="18"/>
                <w:szCs w:val="18"/>
              </w:rPr>
              <w:t>Which guidelines have been used</w:t>
            </w:r>
          </w:p>
        </w:tc>
        <w:tc>
          <w:tcPr>
            <w:tcW w:w="4819" w:type="dxa"/>
          </w:tcPr>
          <w:p w:rsidR="00FA7E2F" w:rsidRPr="00220A20" w:rsidRDefault="00FA7E2F" w:rsidP="00FA7E2F">
            <w:pPr>
              <w:spacing w:before="40"/>
              <w:ind w:left="91"/>
              <w:rPr>
                <w:rFonts w:cstheme="minorHAnsi"/>
                <w:b/>
                <w:color w:val="000000"/>
                <w:sz w:val="18"/>
                <w:szCs w:val="18"/>
              </w:rPr>
            </w:pPr>
            <w:r w:rsidRPr="00220A20">
              <w:rPr>
                <w:rFonts w:cstheme="minorHAnsi"/>
                <w:b/>
                <w:sz w:val="18"/>
                <w:szCs w:val="18"/>
              </w:rPr>
              <w:lastRenderedPageBreak/>
              <w:t>Data Standards and Data Quality</w:t>
            </w:r>
          </w:p>
          <w:p w:rsidR="00086666" w:rsidRPr="00220A20" w:rsidRDefault="00FA7E2F" w:rsidP="00FA7E2F">
            <w:pPr>
              <w:pStyle w:val="ListParagraph"/>
              <w:numPr>
                <w:ilvl w:val="0"/>
                <w:numId w:val="11"/>
              </w:numPr>
              <w:rPr>
                <w:rFonts w:cstheme="minorHAnsi"/>
                <w:sz w:val="18"/>
                <w:szCs w:val="18"/>
              </w:rPr>
            </w:pPr>
            <w:r w:rsidRPr="00220A20">
              <w:rPr>
                <w:rFonts w:cstheme="minorHAnsi"/>
                <w:sz w:val="18"/>
                <w:szCs w:val="18"/>
              </w:rPr>
              <w:lastRenderedPageBreak/>
              <w:t>Are depositors making use of MEDIN guidelines?</w:t>
            </w:r>
            <w:r w:rsidR="00B50695" w:rsidRPr="00220A20">
              <w:rPr>
                <w:rFonts w:cstheme="minorHAnsi"/>
                <w:sz w:val="18"/>
                <w:szCs w:val="18"/>
              </w:rPr>
              <w:t xml:space="preserve"> (Y/N/don’t know)</w:t>
            </w:r>
          </w:p>
          <w:p w:rsidR="00FA7E2F" w:rsidRPr="00220A20" w:rsidRDefault="00FA7E2F" w:rsidP="00FA7E2F">
            <w:pPr>
              <w:pStyle w:val="ListParagraph"/>
              <w:numPr>
                <w:ilvl w:val="0"/>
                <w:numId w:val="11"/>
              </w:numPr>
              <w:rPr>
                <w:rFonts w:cstheme="minorHAnsi"/>
                <w:sz w:val="18"/>
                <w:szCs w:val="18"/>
              </w:rPr>
            </w:pPr>
            <w:r w:rsidRPr="00220A20">
              <w:rPr>
                <w:rFonts w:cstheme="minorHAnsi"/>
                <w:sz w:val="18"/>
                <w:szCs w:val="18"/>
              </w:rPr>
              <w:t>Which guidelines are being used?</w:t>
            </w:r>
          </w:p>
          <w:p w:rsidR="00FA7E2F" w:rsidRPr="00220A20" w:rsidRDefault="00FA7E2F" w:rsidP="00FA7E2F">
            <w:pPr>
              <w:pStyle w:val="ListParagraph"/>
              <w:numPr>
                <w:ilvl w:val="0"/>
                <w:numId w:val="11"/>
              </w:numPr>
              <w:rPr>
                <w:rFonts w:cstheme="minorHAnsi"/>
                <w:sz w:val="18"/>
                <w:szCs w:val="18"/>
              </w:rPr>
            </w:pPr>
            <w:r w:rsidRPr="00220A20">
              <w:rPr>
                <w:rFonts w:cstheme="minorHAnsi"/>
                <w:sz w:val="18"/>
                <w:szCs w:val="18"/>
              </w:rPr>
              <w:t>Is use of MEDIN guidelines making it easier to ingest data into DACs?</w:t>
            </w:r>
          </w:p>
        </w:tc>
      </w:tr>
      <w:tr w:rsidR="00086666" w:rsidRPr="00220A20" w:rsidTr="00187B2B">
        <w:tc>
          <w:tcPr>
            <w:tcW w:w="4815" w:type="dxa"/>
          </w:tcPr>
          <w:p w:rsidR="00086666" w:rsidRPr="00220A20" w:rsidRDefault="00086666" w:rsidP="00086666">
            <w:pPr>
              <w:rPr>
                <w:rFonts w:cstheme="minorHAnsi"/>
                <w:b/>
                <w:color w:val="000000"/>
                <w:sz w:val="18"/>
                <w:szCs w:val="18"/>
              </w:rPr>
            </w:pPr>
            <w:r w:rsidRPr="00220A20">
              <w:rPr>
                <w:rFonts w:cstheme="minorHAnsi"/>
                <w:b/>
                <w:color w:val="000000"/>
                <w:sz w:val="18"/>
                <w:szCs w:val="18"/>
              </w:rPr>
              <w:lastRenderedPageBreak/>
              <w:t>DAC Funding and Sustainability</w:t>
            </w:r>
          </w:p>
          <w:p w:rsidR="00086666" w:rsidRPr="00220A20" w:rsidRDefault="00086666" w:rsidP="00187B2B">
            <w:pPr>
              <w:pStyle w:val="ListParagraph"/>
              <w:numPr>
                <w:ilvl w:val="0"/>
                <w:numId w:val="8"/>
              </w:numPr>
              <w:rPr>
                <w:rFonts w:cstheme="minorHAnsi"/>
                <w:sz w:val="18"/>
                <w:szCs w:val="18"/>
              </w:rPr>
            </w:pPr>
            <w:r w:rsidRPr="00220A20">
              <w:rPr>
                <w:rFonts w:cstheme="minorHAnsi"/>
                <w:color w:val="000000"/>
                <w:sz w:val="18"/>
                <w:szCs w:val="18"/>
              </w:rPr>
              <w:t>Summarise the current and short term funding situation, and forward look in terms of sustainability for the medium-long term.</w:t>
            </w:r>
          </w:p>
        </w:tc>
        <w:tc>
          <w:tcPr>
            <w:tcW w:w="4819" w:type="dxa"/>
          </w:tcPr>
          <w:p w:rsidR="00086666" w:rsidRPr="00220A20" w:rsidRDefault="00FA7E2F" w:rsidP="00086666">
            <w:pPr>
              <w:rPr>
                <w:rFonts w:cstheme="minorHAnsi"/>
                <w:b/>
                <w:sz w:val="18"/>
                <w:szCs w:val="18"/>
              </w:rPr>
            </w:pPr>
            <w:r w:rsidRPr="00220A20">
              <w:rPr>
                <w:rFonts w:cstheme="minorHAnsi"/>
                <w:b/>
                <w:sz w:val="18"/>
                <w:szCs w:val="18"/>
              </w:rPr>
              <w:t>DAC F</w:t>
            </w:r>
            <w:r w:rsidR="00086666" w:rsidRPr="00220A20">
              <w:rPr>
                <w:rFonts w:cstheme="minorHAnsi"/>
                <w:b/>
                <w:sz w:val="18"/>
                <w:szCs w:val="18"/>
              </w:rPr>
              <w:t xml:space="preserve">unding </w:t>
            </w:r>
          </w:p>
          <w:p w:rsidR="00D71BEB" w:rsidRPr="00220A20" w:rsidRDefault="00D71BEB" w:rsidP="00D71BEB">
            <w:pPr>
              <w:pStyle w:val="ListParagraph"/>
              <w:numPr>
                <w:ilvl w:val="0"/>
                <w:numId w:val="5"/>
              </w:numPr>
              <w:spacing w:after="160" w:line="259" w:lineRule="auto"/>
              <w:contextualSpacing/>
              <w:rPr>
                <w:rFonts w:asciiTheme="minorHAnsi" w:hAnsiTheme="minorHAnsi" w:cstheme="minorHAnsi"/>
                <w:sz w:val="18"/>
                <w:szCs w:val="18"/>
              </w:rPr>
            </w:pPr>
            <w:r w:rsidRPr="00220A20">
              <w:rPr>
                <w:rFonts w:asciiTheme="minorHAnsi" w:hAnsiTheme="minorHAnsi" w:cstheme="minorHAnsi"/>
                <w:sz w:val="18"/>
                <w:szCs w:val="18"/>
              </w:rPr>
              <w:t xml:space="preserve">Describe current funding situation </w:t>
            </w:r>
            <w:r w:rsidR="00FA7E2F" w:rsidRPr="00220A20">
              <w:rPr>
                <w:rFonts w:asciiTheme="minorHAnsi" w:hAnsiTheme="minorHAnsi" w:cstheme="minorHAnsi"/>
                <w:sz w:val="18"/>
                <w:szCs w:val="18"/>
              </w:rPr>
              <w:t>(e.g. next 3 to 5 years</w:t>
            </w:r>
            <w:r w:rsidR="001C50A6" w:rsidRPr="00220A20">
              <w:rPr>
                <w:rFonts w:asciiTheme="minorHAnsi" w:hAnsiTheme="minorHAnsi" w:cstheme="minorHAnsi"/>
                <w:sz w:val="18"/>
                <w:szCs w:val="18"/>
              </w:rPr>
              <w:t xml:space="preserve"> or other timespan</w:t>
            </w:r>
            <w:r w:rsidR="00FA7E2F" w:rsidRPr="00220A20">
              <w:rPr>
                <w:rFonts w:asciiTheme="minorHAnsi" w:hAnsiTheme="minorHAnsi" w:cstheme="minorHAnsi"/>
                <w:sz w:val="18"/>
                <w:szCs w:val="18"/>
              </w:rPr>
              <w:t>)</w:t>
            </w:r>
          </w:p>
          <w:p w:rsidR="00D71BEB" w:rsidRPr="00220A20" w:rsidRDefault="00D71BEB" w:rsidP="00D71BEB">
            <w:pPr>
              <w:pStyle w:val="ListParagraph"/>
              <w:numPr>
                <w:ilvl w:val="0"/>
                <w:numId w:val="5"/>
              </w:numPr>
              <w:spacing w:after="160" w:line="259" w:lineRule="auto"/>
              <w:contextualSpacing/>
              <w:rPr>
                <w:rFonts w:asciiTheme="minorHAnsi" w:hAnsiTheme="minorHAnsi" w:cstheme="minorHAnsi"/>
                <w:sz w:val="18"/>
                <w:szCs w:val="18"/>
              </w:rPr>
            </w:pPr>
            <w:r w:rsidRPr="00220A20">
              <w:rPr>
                <w:rFonts w:asciiTheme="minorHAnsi" w:hAnsiTheme="minorHAnsi" w:cstheme="minorHAnsi"/>
                <w:sz w:val="18"/>
                <w:szCs w:val="18"/>
              </w:rPr>
              <w:t>Highlight any changes from previous year</w:t>
            </w:r>
          </w:p>
        </w:tc>
      </w:tr>
      <w:tr w:rsidR="00086666" w:rsidRPr="00220A20" w:rsidTr="00187B2B">
        <w:tc>
          <w:tcPr>
            <w:tcW w:w="4815" w:type="dxa"/>
          </w:tcPr>
          <w:p w:rsidR="00086666" w:rsidRPr="00220A20" w:rsidRDefault="00086666" w:rsidP="00086666">
            <w:pPr>
              <w:rPr>
                <w:rFonts w:cstheme="minorHAnsi"/>
                <w:b/>
                <w:sz w:val="18"/>
                <w:szCs w:val="18"/>
              </w:rPr>
            </w:pPr>
            <w:r w:rsidRPr="00220A20">
              <w:rPr>
                <w:rFonts w:cstheme="minorHAnsi"/>
                <w:b/>
                <w:sz w:val="18"/>
                <w:szCs w:val="18"/>
              </w:rPr>
              <w:t>MEDIN specific activities:</w:t>
            </w:r>
          </w:p>
          <w:p w:rsidR="00086666" w:rsidRPr="00220A20" w:rsidRDefault="00086666" w:rsidP="00086666">
            <w:pPr>
              <w:numPr>
                <w:ilvl w:val="0"/>
                <w:numId w:val="3"/>
              </w:numPr>
              <w:spacing w:before="40"/>
              <w:ind w:left="448" w:hanging="357"/>
              <w:rPr>
                <w:rFonts w:cstheme="minorHAnsi"/>
                <w:sz w:val="18"/>
                <w:szCs w:val="18"/>
              </w:rPr>
            </w:pPr>
            <w:r w:rsidRPr="00220A20">
              <w:rPr>
                <w:rFonts w:cstheme="minorHAnsi"/>
                <w:sz w:val="18"/>
                <w:szCs w:val="18"/>
              </w:rPr>
              <w:t xml:space="preserve">Workshops attended </w:t>
            </w:r>
          </w:p>
          <w:p w:rsidR="00086666" w:rsidRPr="00220A20" w:rsidRDefault="00086666" w:rsidP="00086666">
            <w:pPr>
              <w:numPr>
                <w:ilvl w:val="0"/>
                <w:numId w:val="3"/>
              </w:numPr>
              <w:ind w:left="453"/>
              <w:rPr>
                <w:rFonts w:cstheme="minorHAnsi"/>
                <w:sz w:val="18"/>
                <w:szCs w:val="18"/>
              </w:rPr>
            </w:pPr>
            <w:r w:rsidRPr="00220A20">
              <w:rPr>
                <w:rFonts w:cstheme="minorHAnsi"/>
                <w:sz w:val="18"/>
                <w:szCs w:val="18"/>
              </w:rPr>
              <w:t>New working arrangements with other MEDIN DACs</w:t>
            </w:r>
          </w:p>
          <w:p w:rsidR="00086666" w:rsidRPr="00220A20" w:rsidRDefault="00086666" w:rsidP="00086666">
            <w:pPr>
              <w:numPr>
                <w:ilvl w:val="0"/>
                <w:numId w:val="3"/>
              </w:numPr>
              <w:ind w:left="453"/>
              <w:rPr>
                <w:rFonts w:cstheme="minorHAnsi"/>
                <w:sz w:val="18"/>
                <w:szCs w:val="18"/>
              </w:rPr>
            </w:pPr>
            <w:r w:rsidRPr="00220A20">
              <w:rPr>
                <w:rFonts w:cstheme="minorHAnsi"/>
                <w:sz w:val="18"/>
                <w:szCs w:val="18"/>
              </w:rPr>
              <w:t>Funded activities</w:t>
            </w:r>
          </w:p>
        </w:tc>
        <w:tc>
          <w:tcPr>
            <w:tcW w:w="4819" w:type="dxa"/>
          </w:tcPr>
          <w:p w:rsidR="00086666" w:rsidRPr="00220A20" w:rsidRDefault="00D71BEB" w:rsidP="00086666">
            <w:pPr>
              <w:rPr>
                <w:rFonts w:cstheme="minorHAnsi"/>
                <w:b/>
                <w:sz w:val="18"/>
                <w:szCs w:val="18"/>
              </w:rPr>
            </w:pPr>
            <w:r w:rsidRPr="00220A20">
              <w:rPr>
                <w:rFonts w:cstheme="minorHAnsi"/>
                <w:b/>
                <w:sz w:val="18"/>
                <w:szCs w:val="18"/>
              </w:rPr>
              <w:t>MEDIN-specific activities</w:t>
            </w:r>
          </w:p>
          <w:p w:rsidR="00D71BEB" w:rsidRPr="00220A20" w:rsidRDefault="00D71BEB" w:rsidP="00D71BEB">
            <w:pPr>
              <w:pStyle w:val="ListParagraph"/>
              <w:numPr>
                <w:ilvl w:val="0"/>
                <w:numId w:val="6"/>
              </w:numPr>
              <w:spacing w:after="160" w:line="259" w:lineRule="auto"/>
              <w:contextualSpacing/>
              <w:rPr>
                <w:rFonts w:asciiTheme="minorHAnsi" w:hAnsiTheme="minorHAnsi" w:cstheme="minorHAnsi"/>
                <w:sz w:val="18"/>
                <w:szCs w:val="18"/>
              </w:rPr>
            </w:pPr>
            <w:r w:rsidRPr="00220A20">
              <w:rPr>
                <w:rFonts w:asciiTheme="minorHAnsi" w:hAnsiTheme="minorHAnsi" w:cstheme="minorHAnsi"/>
                <w:sz w:val="18"/>
                <w:szCs w:val="18"/>
              </w:rPr>
              <w:t xml:space="preserve">What was annual MEDIN </w:t>
            </w:r>
            <w:r w:rsidR="001C50A6" w:rsidRPr="00220A20">
              <w:rPr>
                <w:rFonts w:asciiTheme="minorHAnsi" w:hAnsiTheme="minorHAnsi" w:cstheme="minorHAnsi"/>
                <w:sz w:val="18"/>
                <w:szCs w:val="18"/>
              </w:rPr>
              <w:t xml:space="preserve">funding to </w:t>
            </w:r>
            <w:r w:rsidRPr="00220A20">
              <w:rPr>
                <w:rFonts w:asciiTheme="minorHAnsi" w:hAnsiTheme="minorHAnsi" w:cstheme="minorHAnsi"/>
                <w:sz w:val="18"/>
                <w:szCs w:val="18"/>
              </w:rPr>
              <w:t>DAC used for?</w:t>
            </w:r>
          </w:p>
          <w:p w:rsidR="00D71BEB" w:rsidRPr="00220A20" w:rsidRDefault="001C50A6" w:rsidP="00D71BEB">
            <w:pPr>
              <w:pStyle w:val="ListParagraph"/>
              <w:numPr>
                <w:ilvl w:val="0"/>
                <w:numId w:val="6"/>
              </w:numPr>
              <w:spacing w:after="160" w:line="259" w:lineRule="auto"/>
              <w:contextualSpacing/>
              <w:rPr>
                <w:rFonts w:asciiTheme="minorHAnsi" w:hAnsiTheme="minorHAnsi" w:cstheme="minorHAnsi"/>
                <w:sz w:val="18"/>
                <w:szCs w:val="18"/>
              </w:rPr>
            </w:pPr>
            <w:r w:rsidRPr="00220A20">
              <w:rPr>
                <w:rFonts w:asciiTheme="minorHAnsi" w:hAnsiTheme="minorHAnsi" w:cstheme="minorHAnsi"/>
                <w:sz w:val="18"/>
                <w:szCs w:val="18"/>
              </w:rPr>
              <w:t>Summarise</w:t>
            </w:r>
            <w:r w:rsidR="00D71BEB" w:rsidRPr="00220A20">
              <w:rPr>
                <w:rFonts w:asciiTheme="minorHAnsi" w:hAnsiTheme="minorHAnsi" w:cstheme="minorHAnsi"/>
                <w:sz w:val="18"/>
                <w:szCs w:val="18"/>
              </w:rPr>
              <w:t xml:space="preserve"> any MEDIN-funded small projects</w:t>
            </w:r>
          </w:p>
          <w:p w:rsidR="00D71BEB" w:rsidRPr="00220A20" w:rsidRDefault="00FA7E2F" w:rsidP="00D71BEB">
            <w:pPr>
              <w:pStyle w:val="ListParagraph"/>
              <w:numPr>
                <w:ilvl w:val="0"/>
                <w:numId w:val="6"/>
              </w:numPr>
              <w:spacing w:after="160" w:line="259" w:lineRule="auto"/>
              <w:contextualSpacing/>
              <w:rPr>
                <w:rFonts w:asciiTheme="minorHAnsi" w:hAnsiTheme="minorHAnsi" w:cstheme="minorHAnsi"/>
                <w:sz w:val="18"/>
                <w:szCs w:val="18"/>
              </w:rPr>
            </w:pPr>
            <w:r w:rsidRPr="00220A20">
              <w:rPr>
                <w:rFonts w:asciiTheme="minorHAnsi" w:hAnsiTheme="minorHAnsi" w:cstheme="minorHAnsi"/>
                <w:sz w:val="18"/>
                <w:szCs w:val="18"/>
              </w:rPr>
              <w:t>MEDIN workshops/</w:t>
            </w:r>
            <w:r w:rsidR="00D71BEB" w:rsidRPr="00220A20">
              <w:rPr>
                <w:rFonts w:asciiTheme="minorHAnsi" w:hAnsiTheme="minorHAnsi" w:cstheme="minorHAnsi"/>
                <w:sz w:val="18"/>
                <w:szCs w:val="18"/>
              </w:rPr>
              <w:t>meetings attended</w:t>
            </w:r>
          </w:p>
          <w:p w:rsidR="00D71BEB" w:rsidRPr="00220A20" w:rsidRDefault="00FA7E2F" w:rsidP="00D71BEB">
            <w:pPr>
              <w:pStyle w:val="ListParagraph"/>
              <w:numPr>
                <w:ilvl w:val="0"/>
                <w:numId w:val="6"/>
              </w:numPr>
              <w:spacing w:after="160" w:line="259" w:lineRule="auto"/>
              <w:contextualSpacing/>
              <w:rPr>
                <w:rFonts w:asciiTheme="minorHAnsi" w:hAnsiTheme="minorHAnsi" w:cstheme="minorHAnsi"/>
                <w:sz w:val="18"/>
                <w:szCs w:val="18"/>
              </w:rPr>
            </w:pPr>
            <w:r w:rsidRPr="00220A20">
              <w:rPr>
                <w:rFonts w:asciiTheme="minorHAnsi" w:hAnsiTheme="minorHAnsi" w:cstheme="minorHAnsi"/>
                <w:sz w:val="18"/>
                <w:szCs w:val="18"/>
              </w:rPr>
              <w:t>C</w:t>
            </w:r>
            <w:r w:rsidR="00D71BEB" w:rsidRPr="00220A20">
              <w:rPr>
                <w:rFonts w:asciiTheme="minorHAnsi" w:hAnsiTheme="minorHAnsi" w:cstheme="minorHAnsi"/>
                <w:sz w:val="18"/>
                <w:szCs w:val="18"/>
              </w:rPr>
              <w:t>ollaboration with other MEDIN DACs</w:t>
            </w:r>
          </w:p>
        </w:tc>
      </w:tr>
      <w:tr w:rsidR="00086666" w:rsidRPr="00220A20" w:rsidTr="00187B2B">
        <w:tc>
          <w:tcPr>
            <w:tcW w:w="4815" w:type="dxa"/>
          </w:tcPr>
          <w:p w:rsidR="00086666" w:rsidRPr="00220A20" w:rsidRDefault="00086666" w:rsidP="00086666">
            <w:pPr>
              <w:rPr>
                <w:rFonts w:cstheme="minorHAnsi"/>
                <w:b/>
                <w:sz w:val="18"/>
                <w:szCs w:val="18"/>
              </w:rPr>
            </w:pPr>
            <w:r w:rsidRPr="00220A20">
              <w:rPr>
                <w:rFonts w:cstheme="minorHAnsi"/>
                <w:b/>
                <w:sz w:val="18"/>
                <w:szCs w:val="18"/>
              </w:rPr>
              <w:t>Resources used for MEDIN specific activities</w:t>
            </w:r>
          </w:p>
          <w:p w:rsidR="00086666" w:rsidRPr="00220A20" w:rsidRDefault="00086666" w:rsidP="00086666">
            <w:pPr>
              <w:numPr>
                <w:ilvl w:val="0"/>
                <w:numId w:val="3"/>
              </w:numPr>
              <w:spacing w:before="40"/>
              <w:ind w:left="448" w:hanging="357"/>
              <w:rPr>
                <w:rFonts w:cstheme="minorHAnsi"/>
                <w:sz w:val="18"/>
                <w:szCs w:val="18"/>
              </w:rPr>
            </w:pPr>
            <w:r w:rsidRPr="00220A20">
              <w:rPr>
                <w:rFonts w:cstheme="minorHAnsi"/>
                <w:sz w:val="18"/>
                <w:szCs w:val="18"/>
              </w:rPr>
              <w:t>Staff time</w:t>
            </w:r>
          </w:p>
          <w:p w:rsidR="00086666" w:rsidRPr="00220A20" w:rsidRDefault="00086666" w:rsidP="00086666">
            <w:pPr>
              <w:numPr>
                <w:ilvl w:val="0"/>
                <w:numId w:val="3"/>
              </w:numPr>
              <w:ind w:left="453"/>
              <w:rPr>
                <w:rFonts w:cstheme="minorHAnsi"/>
                <w:sz w:val="18"/>
                <w:szCs w:val="18"/>
              </w:rPr>
            </w:pPr>
            <w:r w:rsidRPr="00220A20">
              <w:rPr>
                <w:rFonts w:cstheme="minorHAnsi"/>
                <w:sz w:val="18"/>
                <w:szCs w:val="18"/>
              </w:rPr>
              <w:t>Travel Costs</w:t>
            </w:r>
          </w:p>
          <w:p w:rsidR="00086666" w:rsidRPr="00220A20" w:rsidRDefault="00086666" w:rsidP="00086666">
            <w:pPr>
              <w:numPr>
                <w:ilvl w:val="0"/>
                <w:numId w:val="3"/>
              </w:numPr>
              <w:ind w:left="453"/>
              <w:rPr>
                <w:rFonts w:cstheme="minorHAnsi"/>
                <w:sz w:val="18"/>
                <w:szCs w:val="18"/>
              </w:rPr>
            </w:pPr>
            <w:r w:rsidRPr="00220A20">
              <w:rPr>
                <w:rFonts w:cstheme="minorHAnsi"/>
                <w:sz w:val="18"/>
                <w:szCs w:val="18"/>
              </w:rPr>
              <w:t>Hardware, software</w:t>
            </w:r>
          </w:p>
          <w:p w:rsidR="00086666" w:rsidRPr="00220A20" w:rsidRDefault="00086666" w:rsidP="00086666">
            <w:pPr>
              <w:numPr>
                <w:ilvl w:val="0"/>
                <w:numId w:val="3"/>
              </w:numPr>
              <w:ind w:left="453"/>
              <w:rPr>
                <w:rFonts w:cstheme="minorHAnsi"/>
                <w:sz w:val="18"/>
                <w:szCs w:val="18"/>
              </w:rPr>
            </w:pPr>
            <w:r w:rsidRPr="00220A20">
              <w:rPr>
                <w:rFonts w:cstheme="minorHAnsi"/>
                <w:sz w:val="18"/>
                <w:szCs w:val="18"/>
              </w:rPr>
              <w:t>Provision of Meeting Rooms</w:t>
            </w:r>
          </w:p>
          <w:p w:rsidR="00086666" w:rsidRPr="00220A20" w:rsidRDefault="00086666" w:rsidP="00086666">
            <w:pPr>
              <w:numPr>
                <w:ilvl w:val="0"/>
                <w:numId w:val="3"/>
              </w:numPr>
              <w:ind w:left="453"/>
              <w:rPr>
                <w:rFonts w:cstheme="minorHAnsi"/>
                <w:sz w:val="18"/>
                <w:szCs w:val="18"/>
              </w:rPr>
            </w:pPr>
            <w:r w:rsidRPr="00220A20">
              <w:rPr>
                <w:rFonts w:cstheme="minorHAnsi"/>
                <w:color w:val="000000"/>
                <w:sz w:val="18"/>
                <w:szCs w:val="18"/>
              </w:rPr>
              <w:t>Estimate total cost of in-kind support to MEDIN</w:t>
            </w:r>
          </w:p>
        </w:tc>
        <w:tc>
          <w:tcPr>
            <w:tcW w:w="4819" w:type="dxa"/>
          </w:tcPr>
          <w:p w:rsidR="00086666" w:rsidRPr="00220A20" w:rsidRDefault="00FA7E2F" w:rsidP="00086666">
            <w:pPr>
              <w:rPr>
                <w:rFonts w:cstheme="minorHAnsi"/>
                <w:b/>
                <w:sz w:val="18"/>
                <w:szCs w:val="18"/>
              </w:rPr>
            </w:pPr>
            <w:r w:rsidRPr="00220A20">
              <w:rPr>
                <w:rFonts w:cstheme="minorHAnsi"/>
                <w:b/>
                <w:sz w:val="18"/>
                <w:szCs w:val="18"/>
              </w:rPr>
              <w:t>In-kind support for MEDIN</w:t>
            </w:r>
          </w:p>
          <w:p w:rsidR="00FA7E2F" w:rsidRPr="00220A20" w:rsidRDefault="00FA7E2F" w:rsidP="00FA7E2F">
            <w:pPr>
              <w:numPr>
                <w:ilvl w:val="0"/>
                <w:numId w:val="3"/>
              </w:numPr>
              <w:spacing w:before="40"/>
              <w:ind w:left="448" w:hanging="357"/>
              <w:rPr>
                <w:rFonts w:cstheme="minorHAnsi"/>
                <w:sz w:val="18"/>
                <w:szCs w:val="18"/>
              </w:rPr>
            </w:pPr>
            <w:r w:rsidRPr="00220A20">
              <w:rPr>
                <w:rFonts w:cstheme="minorHAnsi"/>
                <w:color w:val="000000"/>
                <w:sz w:val="18"/>
                <w:szCs w:val="18"/>
              </w:rPr>
              <w:t>Estimate total cost of in-kind support to MEDIN</w:t>
            </w:r>
            <w:r w:rsidRPr="00220A20">
              <w:rPr>
                <w:rFonts w:cstheme="minorHAnsi"/>
                <w:sz w:val="18"/>
                <w:szCs w:val="18"/>
              </w:rPr>
              <w:t xml:space="preserve"> </w:t>
            </w:r>
            <w:r w:rsidR="00B50695" w:rsidRPr="00220A20">
              <w:rPr>
                <w:rFonts w:cstheme="minorHAnsi"/>
                <w:sz w:val="18"/>
                <w:szCs w:val="18"/>
              </w:rPr>
              <w:t>(£)</w:t>
            </w:r>
          </w:p>
          <w:p w:rsidR="00FA7E2F" w:rsidRPr="00220A20" w:rsidRDefault="00FA7E2F" w:rsidP="00FA7E2F">
            <w:pPr>
              <w:numPr>
                <w:ilvl w:val="1"/>
                <w:numId w:val="3"/>
              </w:numPr>
              <w:spacing w:before="40"/>
              <w:rPr>
                <w:rFonts w:cstheme="minorHAnsi"/>
                <w:sz w:val="18"/>
                <w:szCs w:val="18"/>
              </w:rPr>
            </w:pPr>
            <w:r w:rsidRPr="00220A20">
              <w:rPr>
                <w:rFonts w:cstheme="minorHAnsi"/>
                <w:sz w:val="18"/>
                <w:szCs w:val="18"/>
              </w:rPr>
              <w:t>Staff time</w:t>
            </w:r>
          </w:p>
          <w:p w:rsidR="00FA7E2F" w:rsidRPr="00220A20" w:rsidRDefault="00FA7E2F" w:rsidP="00FA7E2F">
            <w:pPr>
              <w:numPr>
                <w:ilvl w:val="1"/>
                <w:numId w:val="3"/>
              </w:numPr>
              <w:rPr>
                <w:rFonts w:cstheme="minorHAnsi"/>
                <w:sz w:val="18"/>
                <w:szCs w:val="18"/>
              </w:rPr>
            </w:pPr>
            <w:r w:rsidRPr="00220A20">
              <w:rPr>
                <w:rFonts w:cstheme="minorHAnsi"/>
                <w:sz w:val="18"/>
                <w:szCs w:val="18"/>
              </w:rPr>
              <w:t>Travel Costs</w:t>
            </w:r>
          </w:p>
          <w:p w:rsidR="00FA7E2F" w:rsidRPr="00220A20" w:rsidRDefault="00FA7E2F" w:rsidP="00FA7E2F">
            <w:pPr>
              <w:numPr>
                <w:ilvl w:val="1"/>
                <w:numId w:val="3"/>
              </w:numPr>
              <w:rPr>
                <w:rFonts w:cstheme="minorHAnsi"/>
                <w:sz w:val="18"/>
                <w:szCs w:val="18"/>
              </w:rPr>
            </w:pPr>
            <w:r w:rsidRPr="00220A20">
              <w:rPr>
                <w:rFonts w:cstheme="minorHAnsi"/>
                <w:sz w:val="18"/>
                <w:szCs w:val="18"/>
              </w:rPr>
              <w:t>Hardware, software</w:t>
            </w:r>
          </w:p>
          <w:p w:rsidR="00FA7E2F" w:rsidRPr="00220A20" w:rsidRDefault="00FA7E2F" w:rsidP="00FA7E2F">
            <w:pPr>
              <w:numPr>
                <w:ilvl w:val="1"/>
                <w:numId w:val="3"/>
              </w:numPr>
              <w:rPr>
                <w:rFonts w:cstheme="minorHAnsi"/>
                <w:sz w:val="18"/>
                <w:szCs w:val="18"/>
              </w:rPr>
            </w:pPr>
            <w:r w:rsidRPr="00220A20">
              <w:rPr>
                <w:rFonts w:cstheme="minorHAnsi"/>
                <w:sz w:val="18"/>
                <w:szCs w:val="18"/>
              </w:rPr>
              <w:t>Provision of Meeting Rooms</w:t>
            </w:r>
          </w:p>
          <w:p w:rsidR="00FA7E2F" w:rsidRPr="00220A20" w:rsidRDefault="00FA7E2F" w:rsidP="00FA7E2F">
            <w:pPr>
              <w:rPr>
                <w:rFonts w:cstheme="minorHAnsi"/>
                <w:b/>
                <w:sz w:val="18"/>
                <w:szCs w:val="18"/>
              </w:rPr>
            </w:pPr>
          </w:p>
        </w:tc>
      </w:tr>
      <w:tr w:rsidR="00086666" w:rsidRPr="00220A20" w:rsidTr="00187B2B">
        <w:tc>
          <w:tcPr>
            <w:tcW w:w="4815" w:type="dxa"/>
          </w:tcPr>
          <w:p w:rsidR="00086666" w:rsidRPr="00220A20" w:rsidRDefault="00086666" w:rsidP="00086666">
            <w:pPr>
              <w:rPr>
                <w:rFonts w:cstheme="minorHAnsi"/>
                <w:b/>
                <w:sz w:val="18"/>
                <w:szCs w:val="18"/>
              </w:rPr>
            </w:pPr>
            <w:r w:rsidRPr="00220A20">
              <w:rPr>
                <w:rFonts w:cstheme="minorHAnsi"/>
                <w:b/>
                <w:sz w:val="18"/>
                <w:szCs w:val="18"/>
              </w:rPr>
              <w:t>Any difficulties meeting MEDIN obligations?</w:t>
            </w:r>
          </w:p>
        </w:tc>
        <w:tc>
          <w:tcPr>
            <w:tcW w:w="4819" w:type="dxa"/>
          </w:tcPr>
          <w:p w:rsidR="00086666" w:rsidRPr="00220A20" w:rsidRDefault="00B50695" w:rsidP="00086666">
            <w:pPr>
              <w:rPr>
                <w:rFonts w:cstheme="minorHAnsi"/>
                <w:b/>
                <w:sz w:val="18"/>
                <w:szCs w:val="18"/>
              </w:rPr>
            </w:pPr>
            <w:r w:rsidRPr="00220A20">
              <w:rPr>
                <w:rFonts w:cstheme="minorHAnsi"/>
                <w:b/>
                <w:sz w:val="18"/>
                <w:szCs w:val="18"/>
              </w:rPr>
              <w:t>Difficulties meeting MEDIN obligations</w:t>
            </w:r>
          </w:p>
          <w:p w:rsidR="00B50695" w:rsidRPr="00220A20" w:rsidRDefault="00B50695" w:rsidP="00B50695">
            <w:pPr>
              <w:pStyle w:val="ListParagraph"/>
              <w:numPr>
                <w:ilvl w:val="0"/>
                <w:numId w:val="12"/>
              </w:numPr>
              <w:rPr>
                <w:rFonts w:cstheme="minorHAnsi"/>
                <w:sz w:val="18"/>
                <w:szCs w:val="18"/>
              </w:rPr>
            </w:pPr>
            <w:r w:rsidRPr="00220A20">
              <w:rPr>
                <w:rFonts w:cstheme="minorHAnsi"/>
                <w:sz w:val="18"/>
                <w:szCs w:val="18"/>
              </w:rPr>
              <w:t>Describe any difficulties/issues in meeting MEDIN obligations</w:t>
            </w:r>
          </w:p>
        </w:tc>
      </w:tr>
      <w:tr w:rsidR="00086666" w:rsidRPr="00220A20" w:rsidTr="00187B2B">
        <w:tc>
          <w:tcPr>
            <w:tcW w:w="4815" w:type="dxa"/>
          </w:tcPr>
          <w:p w:rsidR="00086666" w:rsidRPr="00220A20" w:rsidRDefault="00086666" w:rsidP="00086666">
            <w:pPr>
              <w:rPr>
                <w:rFonts w:cstheme="minorHAnsi"/>
                <w:b/>
                <w:sz w:val="18"/>
                <w:szCs w:val="18"/>
              </w:rPr>
            </w:pPr>
            <w:r w:rsidRPr="00220A20">
              <w:rPr>
                <w:rFonts w:cstheme="minorHAnsi"/>
                <w:b/>
                <w:sz w:val="18"/>
                <w:szCs w:val="18"/>
              </w:rPr>
              <w:t>Key changes in DAC status:</w:t>
            </w:r>
          </w:p>
          <w:p w:rsidR="00086666" w:rsidRPr="00220A20" w:rsidRDefault="00086666" w:rsidP="00086666">
            <w:pPr>
              <w:numPr>
                <w:ilvl w:val="0"/>
                <w:numId w:val="3"/>
              </w:numPr>
              <w:ind w:left="453"/>
              <w:rPr>
                <w:rFonts w:cstheme="minorHAnsi"/>
                <w:sz w:val="18"/>
                <w:szCs w:val="18"/>
              </w:rPr>
            </w:pPr>
            <w:r w:rsidRPr="00220A20">
              <w:rPr>
                <w:rFonts w:cstheme="minorHAnsi"/>
                <w:color w:val="000000"/>
                <w:sz w:val="18"/>
                <w:szCs w:val="18"/>
              </w:rPr>
              <w:t>e.g. new contact personnel, major new funding streams, new web capabilities</w:t>
            </w:r>
          </w:p>
        </w:tc>
        <w:tc>
          <w:tcPr>
            <w:tcW w:w="4819" w:type="dxa"/>
          </w:tcPr>
          <w:p w:rsidR="00086666" w:rsidRPr="00220A20" w:rsidRDefault="003D0F80" w:rsidP="00086666">
            <w:pPr>
              <w:rPr>
                <w:rFonts w:cstheme="minorHAnsi"/>
                <w:sz w:val="18"/>
                <w:szCs w:val="18"/>
              </w:rPr>
            </w:pPr>
            <w:r w:rsidRPr="00220A20">
              <w:rPr>
                <w:rFonts w:cstheme="minorHAnsi"/>
                <w:sz w:val="18"/>
                <w:szCs w:val="18"/>
              </w:rPr>
              <w:t xml:space="preserve">[Covered in </w:t>
            </w:r>
            <w:r w:rsidR="00B50695" w:rsidRPr="00220A20">
              <w:rPr>
                <w:rFonts w:cstheme="minorHAnsi"/>
                <w:sz w:val="18"/>
                <w:szCs w:val="18"/>
              </w:rPr>
              <w:t xml:space="preserve">summary </w:t>
            </w:r>
            <w:r w:rsidRPr="00220A20">
              <w:rPr>
                <w:rFonts w:cstheme="minorHAnsi"/>
                <w:sz w:val="18"/>
                <w:szCs w:val="18"/>
              </w:rPr>
              <w:t>highlights section]</w:t>
            </w:r>
          </w:p>
        </w:tc>
      </w:tr>
    </w:tbl>
    <w:p w:rsidR="001235BE" w:rsidRDefault="001235BE"/>
    <w:p w:rsidR="00013A94" w:rsidRPr="00220A20" w:rsidRDefault="001235BE" w:rsidP="00220A20">
      <w:pPr>
        <w:jc w:val="center"/>
      </w:pPr>
      <w:r>
        <w:br w:type="page"/>
      </w:r>
      <w:r w:rsidR="00220A20" w:rsidRPr="00220A20">
        <w:rPr>
          <w:rStyle w:val="Heading1Char"/>
        </w:rPr>
        <w:lastRenderedPageBreak/>
        <w:t>Annex 1:</w:t>
      </w:r>
      <w:r w:rsidR="00220A20">
        <w:t xml:space="preserve"> </w:t>
      </w:r>
      <w:r w:rsidR="00013A94" w:rsidRPr="00220A20">
        <w:rPr>
          <w:b/>
          <w:caps/>
          <w:snapToGrid w:val="0"/>
          <w:color w:val="000000"/>
          <w:sz w:val="32"/>
          <w:szCs w:val="32"/>
        </w:rPr>
        <w:t>MEDIN Data Archive Centre Network</w:t>
      </w:r>
    </w:p>
    <w:p w:rsidR="00013A94" w:rsidRPr="00220A20" w:rsidRDefault="00013A94" w:rsidP="00013A94">
      <w:pPr>
        <w:jc w:val="center"/>
        <w:rPr>
          <w:b/>
          <w:caps/>
          <w:snapToGrid w:val="0"/>
          <w:color w:val="000000"/>
          <w:sz w:val="32"/>
          <w:szCs w:val="32"/>
        </w:rPr>
      </w:pPr>
      <w:r w:rsidRPr="00220A20">
        <w:rPr>
          <w:b/>
          <w:caps/>
          <w:snapToGrid w:val="0"/>
          <w:color w:val="000000"/>
          <w:sz w:val="32"/>
          <w:szCs w:val="32"/>
        </w:rPr>
        <w:t>DAC Annual report 2019/20</w:t>
      </w:r>
    </w:p>
    <w:p w:rsidR="00013A94" w:rsidRDefault="00013A94" w:rsidP="00013A94">
      <w:pPr>
        <w:pStyle w:val="Heading2"/>
        <w:rPr>
          <w:snapToGrid w:val="0"/>
        </w:rPr>
      </w:pPr>
      <w:r>
        <w:rPr>
          <w:snapToGrid w:val="0"/>
        </w:rPr>
        <w:t>Section 1 – DAC summary information</w:t>
      </w:r>
    </w:p>
    <w:tbl>
      <w:tblPr>
        <w:tblStyle w:val="TableGrid"/>
        <w:tblW w:w="0" w:type="auto"/>
        <w:tblLook w:val="04A0" w:firstRow="1" w:lastRow="0" w:firstColumn="1" w:lastColumn="0" w:noHBand="0" w:noVBand="1"/>
      </w:tblPr>
      <w:tblGrid>
        <w:gridCol w:w="2830"/>
        <w:gridCol w:w="6186"/>
      </w:tblGrid>
      <w:tr w:rsidR="00013A94" w:rsidTr="006039B1">
        <w:tc>
          <w:tcPr>
            <w:tcW w:w="2830" w:type="dxa"/>
            <w:tcBorders>
              <w:bottom w:val="single" w:sz="4" w:space="0" w:color="auto"/>
            </w:tcBorders>
            <w:shd w:val="clear" w:color="auto" w:fill="D9D9D9" w:themeFill="background1" w:themeFillShade="D9"/>
          </w:tcPr>
          <w:p w:rsidR="00013A94" w:rsidRPr="00963357" w:rsidRDefault="00013A94" w:rsidP="006039B1">
            <w:pPr>
              <w:rPr>
                <w:b/>
              </w:rPr>
            </w:pPr>
            <w:r w:rsidRPr="00963357">
              <w:rPr>
                <w:b/>
              </w:rPr>
              <w:t>Name</w:t>
            </w:r>
          </w:p>
        </w:tc>
        <w:tc>
          <w:tcPr>
            <w:tcW w:w="6186" w:type="dxa"/>
            <w:shd w:val="clear" w:color="auto" w:fill="auto"/>
          </w:tcPr>
          <w:p w:rsidR="00013A94" w:rsidRPr="00963357" w:rsidRDefault="00013A94" w:rsidP="006039B1">
            <w:r w:rsidRPr="00963357">
              <w:t>British Geological Survey</w:t>
            </w:r>
          </w:p>
        </w:tc>
      </w:tr>
      <w:tr w:rsidR="00013A94" w:rsidTr="006039B1">
        <w:tc>
          <w:tcPr>
            <w:tcW w:w="2830" w:type="dxa"/>
            <w:shd w:val="clear" w:color="auto" w:fill="D9D9D9" w:themeFill="background1" w:themeFillShade="D9"/>
          </w:tcPr>
          <w:p w:rsidR="00013A94" w:rsidRPr="00963357" w:rsidRDefault="00013A94" w:rsidP="006039B1">
            <w:pPr>
              <w:rPr>
                <w:b/>
              </w:rPr>
            </w:pPr>
            <w:r w:rsidRPr="00963357">
              <w:rPr>
                <w:b/>
              </w:rPr>
              <w:t>Relevant expertise</w:t>
            </w:r>
          </w:p>
        </w:tc>
        <w:tc>
          <w:tcPr>
            <w:tcW w:w="6186" w:type="dxa"/>
          </w:tcPr>
          <w:p w:rsidR="00013A94" w:rsidRDefault="00013A94" w:rsidP="006039B1">
            <w:r>
              <w:t>Marine geoscientific data</w:t>
            </w:r>
          </w:p>
        </w:tc>
      </w:tr>
      <w:tr w:rsidR="00013A94" w:rsidTr="006039B1">
        <w:tc>
          <w:tcPr>
            <w:tcW w:w="2830" w:type="dxa"/>
            <w:shd w:val="clear" w:color="auto" w:fill="D9D9D9" w:themeFill="background1" w:themeFillShade="D9"/>
          </w:tcPr>
          <w:p w:rsidR="00013A94" w:rsidRPr="00963357" w:rsidRDefault="00013A94" w:rsidP="006039B1">
            <w:pPr>
              <w:rPr>
                <w:b/>
              </w:rPr>
            </w:pPr>
            <w:r w:rsidRPr="00963357">
              <w:rPr>
                <w:b/>
              </w:rPr>
              <w:t>MEDIN accreditation status</w:t>
            </w:r>
          </w:p>
        </w:tc>
        <w:tc>
          <w:tcPr>
            <w:tcW w:w="6186" w:type="dxa"/>
          </w:tcPr>
          <w:p w:rsidR="00013A94" w:rsidRPr="00963357" w:rsidRDefault="00013A94" w:rsidP="006039B1">
            <w:r w:rsidRPr="00963357">
              <w:rPr>
                <w:rFonts w:cs="Arial"/>
              </w:rPr>
              <w:t>Accredited since March 2009</w:t>
            </w:r>
            <w:r>
              <w:rPr>
                <w:rFonts w:cs="Arial"/>
              </w:rPr>
              <w:t>, reaccredited 2017</w:t>
            </w:r>
          </w:p>
        </w:tc>
      </w:tr>
      <w:tr w:rsidR="00013A94" w:rsidTr="006039B1">
        <w:tc>
          <w:tcPr>
            <w:tcW w:w="2830" w:type="dxa"/>
            <w:shd w:val="clear" w:color="auto" w:fill="D9D9D9" w:themeFill="background1" w:themeFillShade="D9"/>
          </w:tcPr>
          <w:p w:rsidR="00013A94" w:rsidRPr="00963357" w:rsidRDefault="00013A94" w:rsidP="006039B1">
            <w:pPr>
              <w:rPr>
                <w:b/>
              </w:rPr>
            </w:pPr>
            <w:r w:rsidRPr="00963357">
              <w:rPr>
                <w:b/>
              </w:rPr>
              <w:t>Other accreditation</w:t>
            </w:r>
          </w:p>
        </w:tc>
        <w:tc>
          <w:tcPr>
            <w:tcW w:w="6186" w:type="dxa"/>
          </w:tcPr>
          <w:p w:rsidR="00013A94" w:rsidRDefault="00013A94" w:rsidP="006039B1">
            <w:r>
              <w:t>Core Trust Seal since 2018</w:t>
            </w:r>
          </w:p>
        </w:tc>
      </w:tr>
      <w:tr w:rsidR="00013A94" w:rsidTr="006039B1">
        <w:tc>
          <w:tcPr>
            <w:tcW w:w="2830" w:type="dxa"/>
            <w:shd w:val="clear" w:color="auto" w:fill="D9D9D9" w:themeFill="background1" w:themeFillShade="D9"/>
          </w:tcPr>
          <w:p w:rsidR="00013A94" w:rsidRPr="00963357" w:rsidRDefault="00013A94" w:rsidP="006039B1">
            <w:pPr>
              <w:rPr>
                <w:b/>
              </w:rPr>
            </w:pPr>
            <w:r w:rsidRPr="00963357">
              <w:rPr>
                <w:b/>
              </w:rPr>
              <w:t>Contact information</w:t>
            </w:r>
          </w:p>
        </w:tc>
        <w:tc>
          <w:tcPr>
            <w:tcW w:w="6186" w:type="dxa"/>
          </w:tcPr>
          <w:p w:rsidR="00013A94" w:rsidRDefault="007E720A" w:rsidP="006039B1">
            <w:hyperlink r:id="rId7" w:history="1">
              <w:r w:rsidR="00013A94" w:rsidRPr="00CA3BE5">
                <w:rPr>
                  <w:rStyle w:val="Hyperlink"/>
                  <w:rFonts w:cs="Arial"/>
                  <w:sz w:val="20"/>
                </w:rPr>
                <w:t>medin@bgs.ac.uk</w:t>
              </w:r>
            </w:hyperlink>
            <w:r w:rsidR="00013A94">
              <w:t xml:space="preserve">  </w:t>
            </w:r>
            <w:hyperlink r:id="rId8" w:history="1">
              <w:r w:rsidR="00013A94" w:rsidRPr="00CA3BE5">
                <w:rPr>
                  <w:rStyle w:val="Hyperlink"/>
                  <w:rFonts w:cs="Arial"/>
                  <w:sz w:val="20"/>
                </w:rPr>
                <w:t>offshoredata@bgs.ac.uk</w:t>
              </w:r>
            </w:hyperlink>
          </w:p>
        </w:tc>
      </w:tr>
      <w:tr w:rsidR="00013A94" w:rsidTr="006039B1">
        <w:tc>
          <w:tcPr>
            <w:tcW w:w="2830" w:type="dxa"/>
            <w:shd w:val="clear" w:color="auto" w:fill="D9D9D9" w:themeFill="background1" w:themeFillShade="D9"/>
          </w:tcPr>
          <w:p w:rsidR="00013A94" w:rsidRPr="00963357" w:rsidRDefault="00013A94" w:rsidP="006039B1">
            <w:pPr>
              <w:rPr>
                <w:b/>
              </w:rPr>
            </w:pPr>
            <w:r w:rsidRPr="00963357">
              <w:rPr>
                <w:b/>
              </w:rPr>
              <w:t>Web links</w:t>
            </w:r>
          </w:p>
        </w:tc>
        <w:tc>
          <w:tcPr>
            <w:tcW w:w="6186" w:type="dxa"/>
          </w:tcPr>
          <w:p w:rsidR="00013A94" w:rsidRDefault="007E720A" w:rsidP="006039B1">
            <w:hyperlink r:id="rId9" w:history="1">
              <w:r w:rsidR="00013A94" w:rsidRPr="00CA3BE5">
                <w:rPr>
                  <w:rStyle w:val="Hyperlink"/>
                  <w:rFonts w:cs="Arial"/>
                  <w:sz w:val="20"/>
                </w:rPr>
                <w:t>http://www.bgs.ac.uk/services/ngdc/management/marine/home.html</w:t>
              </w:r>
            </w:hyperlink>
          </w:p>
        </w:tc>
      </w:tr>
    </w:tbl>
    <w:p w:rsidR="00220A20" w:rsidRDefault="00220A20" w:rsidP="00013A94">
      <w:pPr>
        <w:pStyle w:val="Heading2"/>
      </w:pPr>
    </w:p>
    <w:p w:rsidR="00013A94" w:rsidRDefault="00013A94" w:rsidP="00013A94">
      <w:pPr>
        <w:pStyle w:val="Heading2"/>
      </w:pPr>
      <w:r>
        <w:t>Section 2 – DAC metrics in reporting year 2019/20</w:t>
      </w:r>
    </w:p>
    <w:p w:rsidR="00013A94" w:rsidRDefault="00013A94" w:rsidP="00013A94">
      <w:pPr>
        <w:jc w:val="both"/>
      </w:pPr>
      <w:r>
        <w:t>Where possible, MEDIN is taking metrics directly from the MEDIN portal. Where this is not possible, individual DACs will be asked to supply figures that will be measured in a consistent way across years.</w:t>
      </w:r>
    </w:p>
    <w:p w:rsidR="00013A94" w:rsidRPr="00344756" w:rsidRDefault="00013A94" w:rsidP="00013A94">
      <w:pPr>
        <w:rPr>
          <w:color w:val="FF0000"/>
        </w:rPr>
      </w:pPr>
      <w:r w:rsidRPr="00344756">
        <w:rPr>
          <w:color w:val="FF0000"/>
        </w:rPr>
        <w:t>[TO BE FILLED IN BY MEDIN</w:t>
      </w:r>
      <w:r>
        <w:rPr>
          <w:color w:val="FF0000"/>
        </w:rPr>
        <w:t>, from Portal</w:t>
      </w:r>
      <w:r w:rsidRPr="00344756">
        <w:rPr>
          <w:color w:val="FF0000"/>
        </w:rPr>
        <w:t>]</w:t>
      </w:r>
    </w:p>
    <w:tbl>
      <w:tblPr>
        <w:tblStyle w:val="TableGrid"/>
        <w:tblW w:w="0" w:type="auto"/>
        <w:tblLook w:val="04A0" w:firstRow="1" w:lastRow="0" w:firstColumn="1" w:lastColumn="0" w:noHBand="0" w:noVBand="1"/>
      </w:tblPr>
      <w:tblGrid>
        <w:gridCol w:w="5524"/>
        <w:gridCol w:w="1842"/>
        <w:gridCol w:w="1650"/>
      </w:tblGrid>
      <w:tr w:rsidR="00013A94" w:rsidRPr="00220A20" w:rsidTr="006039B1">
        <w:tc>
          <w:tcPr>
            <w:tcW w:w="5524" w:type="dxa"/>
            <w:shd w:val="clear" w:color="auto" w:fill="D9D9D9" w:themeFill="background1" w:themeFillShade="D9"/>
          </w:tcPr>
          <w:p w:rsidR="00013A94" w:rsidRPr="00220A20" w:rsidRDefault="00013A94" w:rsidP="006039B1">
            <w:pPr>
              <w:rPr>
                <w:b/>
                <w:sz w:val="18"/>
                <w:szCs w:val="18"/>
              </w:rPr>
            </w:pPr>
            <w:r w:rsidRPr="00220A20">
              <w:rPr>
                <w:b/>
                <w:sz w:val="18"/>
                <w:szCs w:val="18"/>
              </w:rPr>
              <w:t>Portal metric</w:t>
            </w:r>
          </w:p>
        </w:tc>
        <w:tc>
          <w:tcPr>
            <w:tcW w:w="1842" w:type="dxa"/>
            <w:shd w:val="clear" w:color="auto" w:fill="D9D9D9" w:themeFill="background1" w:themeFillShade="D9"/>
          </w:tcPr>
          <w:p w:rsidR="00013A94" w:rsidRPr="00220A20" w:rsidRDefault="00013A94" w:rsidP="006039B1">
            <w:pPr>
              <w:rPr>
                <w:b/>
                <w:sz w:val="18"/>
                <w:szCs w:val="18"/>
              </w:rPr>
            </w:pPr>
            <w:r w:rsidRPr="00220A20">
              <w:rPr>
                <w:b/>
                <w:sz w:val="18"/>
                <w:szCs w:val="18"/>
              </w:rPr>
              <w:t>Dataset</w:t>
            </w:r>
          </w:p>
        </w:tc>
        <w:tc>
          <w:tcPr>
            <w:tcW w:w="1650" w:type="dxa"/>
            <w:shd w:val="clear" w:color="auto" w:fill="D9D9D9" w:themeFill="background1" w:themeFillShade="D9"/>
          </w:tcPr>
          <w:p w:rsidR="00013A94" w:rsidRPr="00220A20" w:rsidRDefault="00013A94" w:rsidP="006039B1">
            <w:pPr>
              <w:rPr>
                <w:b/>
                <w:sz w:val="18"/>
                <w:szCs w:val="18"/>
              </w:rPr>
            </w:pPr>
            <w:r w:rsidRPr="00220A20">
              <w:rPr>
                <w:b/>
                <w:sz w:val="18"/>
                <w:szCs w:val="18"/>
              </w:rPr>
              <w:t>Services</w:t>
            </w:r>
          </w:p>
        </w:tc>
      </w:tr>
      <w:tr w:rsidR="00013A94" w:rsidRPr="00220A20" w:rsidTr="006039B1">
        <w:tc>
          <w:tcPr>
            <w:tcW w:w="5524" w:type="dxa"/>
          </w:tcPr>
          <w:p w:rsidR="00013A94" w:rsidRPr="00220A20" w:rsidRDefault="00013A94" w:rsidP="006039B1">
            <w:pPr>
              <w:rPr>
                <w:sz w:val="18"/>
                <w:szCs w:val="18"/>
              </w:rPr>
            </w:pPr>
            <w:r w:rsidRPr="00220A20">
              <w:rPr>
                <w:sz w:val="18"/>
                <w:szCs w:val="18"/>
              </w:rPr>
              <w:t>Total number of portal metadata records for DAC</w:t>
            </w:r>
          </w:p>
        </w:tc>
        <w:tc>
          <w:tcPr>
            <w:tcW w:w="1842" w:type="dxa"/>
          </w:tcPr>
          <w:p w:rsidR="00013A94" w:rsidRPr="00220A20" w:rsidRDefault="00013A94" w:rsidP="006039B1">
            <w:pPr>
              <w:rPr>
                <w:sz w:val="18"/>
                <w:szCs w:val="18"/>
              </w:rPr>
            </w:pPr>
            <w:r w:rsidRPr="00220A20">
              <w:rPr>
                <w:sz w:val="18"/>
                <w:szCs w:val="18"/>
              </w:rPr>
              <w:t>1205</w:t>
            </w:r>
          </w:p>
        </w:tc>
        <w:tc>
          <w:tcPr>
            <w:tcW w:w="1650" w:type="dxa"/>
          </w:tcPr>
          <w:p w:rsidR="00013A94" w:rsidRPr="00220A20" w:rsidRDefault="00013A94" w:rsidP="006039B1">
            <w:pPr>
              <w:rPr>
                <w:sz w:val="18"/>
                <w:szCs w:val="18"/>
              </w:rPr>
            </w:pPr>
            <w:r w:rsidRPr="00220A20">
              <w:rPr>
                <w:sz w:val="18"/>
                <w:szCs w:val="18"/>
              </w:rPr>
              <w:t>3 view services</w:t>
            </w:r>
          </w:p>
        </w:tc>
      </w:tr>
      <w:tr w:rsidR="00013A94" w:rsidRPr="00220A20" w:rsidTr="006039B1">
        <w:tc>
          <w:tcPr>
            <w:tcW w:w="5524" w:type="dxa"/>
          </w:tcPr>
          <w:p w:rsidR="00013A94" w:rsidRPr="00220A20" w:rsidRDefault="00013A94" w:rsidP="006039B1">
            <w:pPr>
              <w:rPr>
                <w:sz w:val="18"/>
                <w:szCs w:val="18"/>
              </w:rPr>
            </w:pPr>
            <w:r w:rsidRPr="00220A20">
              <w:rPr>
                <w:sz w:val="18"/>
                <w:szCs w:val="18"/>
              </w:rPr>
              <w:t>Number of new or updated metadata records during year</w:t>
            </w:r>
          </w:p>
        </w:tc>
        <w:tc>
          <w:tcPr>
            <w:tcW w:w="1842" w:type="dxa"/>
          </w:tcPr>
          <w:p w:rsidR="00013A94" w:rsidRPr="00220A20" w:rsidRDefault="00013A94" w:rsidP="006039B1">
            <w:pPr>
              <w:rPr>
                <w:sz w:val="18"/>
                <w:szCs w:val="18"/>
              </w:rPr>
            </w:pPr>
            <w:r w:rsidRPr="00220A20">
              <w:rPr>
                <w:sz w:val="18"/>
                <w:szCs w:val="18"/>
              </w:rPr>
              <w:t xml:space="preserve">1066 </w:t>
            </w:r>
          </w:p>
        </w:tc>
        <w:tc>
          <w:tcPr>
            <w:tcW w:w="1650" w:type="dxa"/>
          </w:tcPr>
          <w:p w:rsidR="00013A94" w:rsidRPr="00220A20" w:rsidRDefault="00013A94" w:rsidP="006039B1">
            <w:pPr>
              <w:rPr>
                <w:sz w:val="18"/>
                <w:szCs w:val="18"/>
              </w:rPr>
            </w:pPr>
            <w:r w:rsidRPr="00220A20">
              <w:rPr>
                <w:sz w:val="18"/>
                <w:szCs w:val="18"/>
              </w:rPr>
              <w:t>3</w:t>
            </w:r>
          </w:p>
        </w:tc>
      </w:tr>
      <w:tr w:rsidR="00013A94" w:rsidRPr="00220A20" w:rsidTr="006039B1">
        <w:tc>
          <w:tcPr>
            <w:tcW w:w="5524" w:type="dxa"/>
          </w:tcPr>
          <w:p w:rsidR="00013A94" w:rsidRPr="00220A20" w:rsidRDefault="00013A94" w:rsidP="006039B1">
            <w:pPr>
              <w:rPr>
                <w:sz w:val="18"/>
                <w:szCs w:val="18"/>
              </w:rPr>
            </w:pPr>
            <w:r w:rsidRPr="00220A20">
              <w:rPr>
                <w:sz w:val="18"/>
                <w:szCs w:val="18"/>
              </w:rPr>
              <w:t>Number of metadata records with online access to data</w:t>
            </w:r>
          </w:p>
        </w:tc>
        <w:tc>
          <w:tcPr>
            <w:tcW w:w="1842" w:type="dxa"/>
          </w:tcPr>
          <w:p w:rsidR="00013A94" w:rsidRPr="00220A20" w:rsidRDefault="00013A94" w:rsidP="006039B1">
            <w:pPr>
              <w:rPr>
                <w:sz w:val="18"/>
                <w:szCs w:val="18"/>
              </w:rPr>
            </w:pPr>
            <w:r w:rsidRPr="00220A20">
              <w:rPr>
                <w:sz w:val="18"/>
                <w:szCs w:val="18"/>
              </w:rPr>
              <w:t>1043 (approx.)</w:t>
            </w:r>
          </w:p>
        </w:tc>
        <w:tc>
          <w:tcPr>
            <w:tcW w:w="1650" w:type="dxa"/>
          </w:tcPr>
          <w:p w:rsidR="00013A94" w:rsidRPr="00220A20" w:rsidRDefault="00013A94" w:rsidP="006039B1">
            <w:pPr>
              <w:rPr>
                <w:sz w:val="18"/>
                <w:szCs w:val="18"/>
              </w:rPr>
            </w:pPr>
          </w:p>
        </w:tc>
      </w:tr>
      <w:tr w:rsidR="00DC75AB" w:rsidRPr="00220A20" w:rsidTr="006039B1">
        <w:tc>
          <w:tcPr>
            <w:tcW w:w="5524" w:type="dxa"/>
          </w:tcPr>
          <w:p w:rsidR="00DC75AB" w:rsidRPr="00220A20" w:rsidRDefault="00DC75AB" w:rsidP="006039B1">
            <w:pPr>
              <w:rPr>
                <w:sz w:val="18"/>
                <w:szCs w:val="18"/>
              </w:rPr>
            </w:pPr>
            <w:r w:rsidRPr="00220A20">
              <w:rPr>
                <w:sz w:val="18"/>
                <w:szCs w:val="18"/>
              </w:rPr>
              <w:t>Number of metadata records with DOI</w:t>
            </w:r>
          </w:p>
        </w:tc>
        <w:tc>
          <w:tcPr>
            <w:tcW w:w="1842" w:type="dxa"/>
          </w:tcPr>
          <w:p w:rsidR="00DC75AB" w:rsidRPr="00220A20" w:rsidRDefault="00DC75AB" w:rsidP="006039B1">
            <w:pPr>
              <w:rPr>
                <w:sz w:val="18"/>
                <w:szCs w:val="18"/>
              </w:rPr>
            </w:pPr>
            <w:r w:rsidRPr="00220A20">
              <w:rPr>
                <w:sz w:val="18"/>
                <w:szCs w:val="18"/>
              </w:rPr>
              <w:t>57</w:t>
            </w:r>
          </w:p>
        </w:tc>
        <w:tc>
          <w:tcPr>
            <w:tcW w:w="1650" w:type="dxa"/>
          </w:tcPr>
          <w:p w:rsidR="00DC75AB" w:rsidRPr="00220A20" w:rsidRDefault="00DC75AB" w:rsidP="006039B1">
            <w:pPr>
              <w:rPr>
                <w:sz w:val="18"/>
                <w:szCs w:val="18"/>
              </w:rPr>
            </w:pPr>
          </w:p>
        </w:tc>
      </w:tr>
    </w:tbl>
    <w:p w:rsidR="00013A94" w:rsidRDefault="00013A94" w:rsidP="00013A94"/>
    <w:p w:rsidR="00013A94" w:rsidRDefault="00013A94" w:rsidP="00013A94">
      <w:r w:rsidRPr="00344756">
        <w:rPr>
          <w:color w:val="FF0000"/>
        </w:rPr>
        <w:t>[T</w:t>
      </w:r>
      <w:r>
        <w:rPr>
          <w:color w:val="FF0000"/>
        </w:rPr>
        <w:t>O BE SUPPLIED BY DAC</w:t>
      </w:r>
      <w:r w:rsidRPr="00344756">
        <w:rPr>
          <w:color w:val="FF0000"/>
        </w:rPr>
        <w:t>]</w:t>
      </w:r>
      <w:r w:rsidRPr="00344756">
        <w:t xml:space="preserve"> </w:t>
      </w:r>
    </w:p>
    <w:p w:rsidR="00013A94" w:rsidRDefault="00013A94" w:rsidP="00013A94">
      <w:pPr>
        <w:jc w:val="both"/>
      </w:pPr>
      <w:r>
        <w:t xml:space="preserve">It is not possible to get download numbers from the MEDIN portal, as </w:t>
      </w:r>
      <w:proofErr w:type="gramStart"/>
      <w:r>
        <w:t>the downloads</w:t>
      </w:r>
      <w:proofErr w:type="gramEnd"/>
      <w:r>
        <w:t xml:space="preserve"> take place elsewhere. Also, there is a need to be able to capture the requests for data from the DACs own data dissemination methods. DACs are asked to describe what is being provided and to ensure that this method is consistent year on year.</w:t>
      </w:r>
    </w:p>
    <w:tbl>
      <w:tblPr>
        <w:tblStyle w:val="TableGrid"/>
        <w:tblW w:w="0" w:type="auto"/>
        <w:tblLook w:val="04A0" w:firstRow="1" w:lastRow="0" w:firstColumn="1" w:lastColumn="0" w:noHBand="0" w:noVBand="1"/>
      </w:tblPr>
      <w:tblGrid>
        <w:gridCol w:w="3397"/>
        <w:gridCol w:w="5619"/>
      </w:tblGrid>
      <w:tr w:rsidR="00013A94" w:rsidRPr="00220A20" w:rsidTr="001F345E">
        <w:tc>
          <w:tcPr>
            <w:tcW w:w="3397" w:type="dxa"/>
            <w:shd w:val="clear" w:color="auto" w:fill="D9D9D9" w:themeFill="background1" w:themeFillShade="D9"/>
          </w:tcPr>
          <w:p w:rsidR="00013A94" w:rsidRPr="00220A20" w:rsidRDefault="00013A94" w:rsidP="006039B1">
            <w:pPr>
              <w:rPr>
                <w:b/>
                <w:sz w:val="18"/>
                <w:szCs w:val="18"/>
              </w:rPr>
            </w:pPr>
            <w:r w:rsidRPr="00220A20">
              <w:rPr>
                <w:b/>
                <w:sz w:val="18"/>
                <w:szCs w:val="18"/>
              </w:rPr>
              <w:t>DAC metric</w:t>
            </w:r>
          </w:p>
        </w:tc>
        <w:tc>
          <w:tcPr>
            <w:tcW w:w="5619" w:type="dxa"/>
            <w:shd w:val="clear" w:color="auto" w:fill="D9D9D9" w:themeFill="background1" w:themeFillShade="D9"/>
          </w:tcPr>
          <w:p w:rsidR="00013A94" w:rsidRPr="00220A20" w:rsidRDefault="00013A94" w:rsidP="006039B1">
            <w:pPr>
              <w:rPr>
                <w:b/>
                <w:sz w:val="18"/>
                <w:szCs w:val="18"/>
              </w:rPr>
            </w:pPr>
            <w:r w:rsidRPr="00220A20">
              <w:rPr>
                <w:b/>
                <w:sz w:val="18"/>
                <w:szCs w:val="18"/>
              </w:rPr>
              <w:t>DAC input</w:t>
            </w:r>
          </w:p>
        </w:tc>
      </w:tr>
      <w:tr w:rsidR="00013A94" w:rsidRPr="00220A20" w:rsidTr="001F345E">
        <w:tc>
          <w:tcPr>
            <w:tcW w:w="3397" w:type="dxa"/>
          </w:tcPr>
          <w:p w:rsidR="00013A94" w:rsidRPr="00220A20" w:rsidRDefault="00013A94" w:rsidP="006039B1">
            <w:pPr>
              <w:rPr>
                <w:sz w:val="18"/>
                <w:szCs w:val="18"/>
              </w:rPr>
            </w:pPr>
            <w:r w:rsidRPr="00220A20">
              <w:rPr>
                <w:sz w:val="18"/>
                <w:szCs w:val="18"/>
              </w:rPr>
              <w:t>Number of requests for data</w:t>
            </w:r>
          </w:p>
        </w:tc>
        <w:tc>
          <w:tcPr>
            <w:tcW w:w="5619" w:type="dxa"/>
          </w:tcPr>
          <w:p w:rsidR="00013A94" w:rsidRPr="00220A20" w:rsidRDefault="00013A94" w:rsidP="006039B1">
            <w:pPr>
              <w:rPr>
                <w:sz w:val="18"/>
                <w:szCs w:val="18"/>
              </w:rPr>
            </w:pPr>
            <w:r w:rsidRPr="00220A20">
              <w:rPr>
                <w:sz w:val="18"/>
                <w:szCs w:val="18"/>
              </w:rPr>
              <w:t>250,759</w:t>
            </w:r>
          </w:p>
        </w:tc>
      </w:tr>
      <w:tr w:rsidR="00013A94" w:rsidRPr="00220A20" w:rsidTr="001F345E">
        <w:tc>
          <w:tcPr>
            <w:tcW w:w="3397" w:type="dxa"/>
          </w:tcPr>
          <w:p w:rsidR="00013A94" w:rsidRPr="00220A20" w:rsidRDefault="00013A94" w:rsidP="006039B1">
            <w:pPr>
              <w:rPr>
                <w:sz w:val="18"/>
                <w:szCs w:val="18"/>
              </w:rPr>
            </w:pPr>
            <w:r w:rsidRPr="00220A20">
              <w:rPr>
                <w:sz w:val="18"/>
                <w:szCs w:val="18"/>
              </w:rPr>
              <w:t>Data points or Data sets?</w:t>
            </w:r>
          </w:p>
        </w:tc>
        <w:tc>
          <w:tcPr>
            <w:tcW w:w="5619" w:type="dxa"/>
          </w:tcPr>
          <w:p w:rsidR="00013A94" w:rsidRPr="00220A20" w:rsidRDefault="00013A94" w:rsidP="006039B1">
            <w:pPr>
              <w:rPr>
                <w:sz w:val="18"/>
                <w:szCs w:val="18"/>
              </w:rPr>
            </w:pPr>
            <w:r w:rsidRPr="00220A20">
              <w:rPr>
                <w:sz w:val="18"/>
                <w:szCs w:val="18"/>
              </w:rPr>
              <w:t>Data sets</w:t>
            </w:r>
          </w:p>
        </w:tc>
      </w:tr>
      <w:tr w:rsidR="00013A94" w:rsidRPr="00220A20" w:rsidTr="001F345E">
        <w:tc>
          <w:tcPr>
            <w:tcW w:w="3397" w:type="dxa"/>
          </w:tcPr>
          <w:p w:rsidR="00013A94" w:rsidRPr="00220A20" w:rsidRDefault="00013A94" w:rsidP="006039B1">
            <w:pPr>
              <w:rPr>
                <w:sz w:val="18"/>
                <w:szCs w:val="18"/>
              </w:rPr>
            </w:pPr>
            <w:r w:rsidRPr="00220A20">
              <w:rPr>
                <w:sz w:val="18"/>
                <w:szCs w:val="18"/>
              </w:rPr>
              <w:t>Method of estimate - narrative</w:t>
            </w:r>
          </w:p>
        </w:tc>
        <w:tc>
          <w:tcPr>
            <w:tcW w:w="5619" w:type="dxa"/>
          </w:tcPr>
          <w:p w:rsidR="00013A94" w:rsidRPr="00220A20" w:rsidRDefault="00013A94" w:rsidP="00CF603C">
            <w:pPr>
              <w:rPr>
                <w:sz w:val="18"/>
                <w:szCs w:val="18"/>
              </w:rPr>
            </w:pPr>
            <w:r w:rsidRPr="00220A20">
              <w:rPr>
                <w:sz w:val="18"/>
                <w:szCs w:val="18"/>
              </w:rPr>
              <w:t>Includes downloads from BGS data portal</w:t>
            </w:r>
            <w:r w:rsidR="00CF603C" w:rsidRPr="00220A20">
              <w:rPr>
                <w:sz w:val="18"/>
                <w:szCs w:val="18"/>
              </w:rPr>
              <w:t xml:space="preserve"> (</w:t>
            </w:r>
            <w:hyperlink r:id="rId10" w:history="1">
              <w:r w:rsidR="00CF603C" w:rsidRPr="00220A20">
                <w:rPr>
                  <w:rStyle w:val="Hyperlink"/>
                  <w:sz w:val="18"/>
                  <w:szCs w:val="18"/>
                </w:rPr>
                <w:t>https://www.bgs.ac.uk/data/search/search.cfc?method=selectData</w:t>
              </w:r>
            </w:hyperlink>
            <w:r w:rsidR="00CF603C" w:rsidRPr="00220A20">
              <w:rPr>
                <w:sz w:val="18"/>
                <w:szCs w:val="18"/>
              </w:rPr>
              <w:t>)</w:t>
            </w:r>
            <w:r w:rsidRPr="00220A20">
              <w:rPr>
                <w:sz w:val="18"/>
                <w:szCs w:val="18"/>
              </w:rPr>
              <w:t xml:space="preserve">, plus </w:t>
            </w:r>
            <w:r w:rsidR="00CF603C" w:rsidRPr="00220A20">
              <w:rPr>
                <w:sz w:val="18"/>
                <w:szCs w:val="18"/>
              </w:rPr>
              <w:t>downloads from National Hydrocarbons Data Archive (</w:t>
            </w:r>
            <w:hyperlink r:id="rId11" w:history="1">
              <w:r w:rsidR="00CF603C" w:rsidRPr="00220A20">
                <w:rPr>
                  <w:rStyle w:val="Hyperlink"/>
                  <w:sz w:val="18"/>
                  <w:szCs w:val="18"/>
                </w:rPr>
                <w:t>https://www.bgs.ac.uk/nhda/holdings.html</w:t>
              </w:r>
            </w:hyperlink>
            <w:r w:rsidR="00CF603C" w:rsidRPr="00220A20">
              <w:rPr>
                <w:sz w:val="18"/>
                <w:szCs w:val="18"/>
              </w:rPr>
              <w:t>)</w:t>
            </w:r>
          </w:p>
        </w:tc>
      </w:tr>
      <w:tr w:rsidR="001F345E" w:rsidRPr="00220A20" w:rsidTr="001F345E">
        <w:tc>
          <w:tcPr>
            <w:tcW w:w="3397" w:type="dxa"/>
          </w:tcPr>
          <w:p w:rsidR="001F345E" w:rsidRPr="001F345E" w:rsidRDefault="001F345E" w:rsidP="001F345E">
            <w:pPr>
              <w:rPr>
                <w:rFonts w:cstheme="minorHAnsi"/>
                <w:sz w:val="18"/>
                <w:szCs w:val="18"/>
              </w:rPr>
            </w:pPr>
            <w:r w:rsidRPr="001F345E">
              <w:rPr>
                <w:rFonts w:cstheme="minorHAnsi"/>
                <w:sz w:val="18"/>
                <w:szCs w:val="18"/>
              </w:rPr>
              <w:t xml:space="preserve">Number of </w:t>
            </w:r>
            <w:hyperlink r:id="rId12" w:anchor="members" w:history="1">
              <w:r w:rsidRPr="001F345E">
                <w:rPr>
                  <w:rStyle w:val="Hyperlink"/>
                  <w:rFonts w:cstheme="minorHAnsi"/>
                  <w:sz w:val="18"/>
                  <w:szCs w:val="18"/>
                </w:rPr>
                <w:t>MSCC Organisations</w:t>
              </w:r>
            </w:hyperlink>
            <w:r w:rsidRPr="001F345E">
              <w:rPr>
                <w:rFonts w:cstheme="minorHAnsi"/>
                <w:color w:val="000000" w:themeColor="text1"/>
                <w:sz w:val="18"/>
                <w:szCs w:val="18"/>
              </w:rPr>
              <w:t>/</w:t>
            </w:r>
            <w:hyperlink w:anchor="MEDINSponsors" w:tooltip="DEFRA, NERC, Marine Scotland, DECC, Met Office, NRW, MMO, MCA, The Crown Estate, UKHO, HR Wallingford, JNCC, NIEA, AFBI, Cefas" w:history="1">
              <w:r w:rsidRPr="001F345E">
                <w:rPr>
                  <w:rStyle w:val="Hyperlink"/>
                  <w:rFonts w:cstheme="minorHAnsi"/>
                  <w:sz w:val="18"/>
                  <w:szCs w:val="18"/>
                </w:rPr>
                <w:t>MEDIN Sponsors</w:t>
              </w:r>
            </w:hyperlink>
            <w:r w:rsidRPr="001F345E">
              <w:rPr>
                <w:rFonts w:cstheme="minorHAnsi"/>
                <w:sz w:val="18"/>
                <w:szCs w:val="18"/>
              </w:rPr>
              <w:t xml:space="preserve"> with data archived at DAC</w:t>
            </w:r>
          </w:p>
          <w:p w:rsidR="001F345E" w:rsidRPr="00220A20" w:rsidRDefault="001F345E" w:rsidP="006039B1">
            <w:pPr>
              <w:rPr>
                <w:sz w:val="18"/>
                <w:szCs w:val="18"/>
              </w:rPr>
            </w:pPr>
          </w:p>
        </w:tc>
        <w:tc>
          <w:tcPr>
            <w:tcW w:w="5619" w:type="dxa"/>
          </w:tcPr>
          <w:p w:rsidR="001F345E" w:rsidRPr="00220A20" w:rsidRDefault="001F345E" w:rsidP="00CF603C">
            <w:pPr>
              <w:rPr>
                <w:sz w:val="18"/>
                <w:szCs w:val="18"/>
              </w:rPr>
            </w:pPr>
            <w:r>
              <w:rPr>
                <w:sz w:val="18"/>
                <w:szCs w:val="18"/>
              </w:rPr>
              <w:t>7</w:t>
            </w:r>
          </w:p>
        </w:tc>
      </w:tr>
    </w:tbl>
    <w:p w:rsidR="00013A94" w:rsidRDefault="00013A94" w:rsidP="00013A94"/>
    <w:p w:rsidR="00013A94" w:rsidRDefault="00013A94" w:rsidP="00013A94">
      <w:r w:rsidRPr="00344756">
        <w:rPr>
          <w:color w:val="FF0000"/>
        </w:rPr>
        <w:t>[T</w:t>
      </w:r>
      <w:r>
        <w:rPr>
          <w:color w:val="FF0000"/>
        </w:rPr>
        <w:t>O BE SUPPLIED BY DAC</w:t>
      </w:r>
      <w:r w:rsidRPr="00344756">
        <w:rPr>
          <w:color w:val="FF0000"/>
        </w:rPr>
        <w:t>]</w:t>
      </w:r>
      <w:r w:rsidRPr="00344756">
        <w:t xml:space="preserve"> </w:t>
      </w:r>
    </w:p>
    <w:p w:rsidR="00013A94" w:rsidRDefault="00013A94" w:rsidP="00013A94">
      <w:pPr>
        <w:pStyle w:val="Heading2"/>
      </w:pPr>
      <w:r>
        <w:t>Section 3 – DAC activities in reporting year 2019/20</w:t>
      </w:r>
    </w:p>
    <w:p w:rsidR="00013A94" w:rsidRDefault="00013A94" w:rsidP="00013A94">
      <w:r>
        <w:t>This is a narrative section, for DACs to give a picture of the reporting year, according to the following headings:</w:t>
      </w:r>
    </w:p>
    <w:p w:rsidR="00013A94" w:rsidRDefault="00013A94" w:rsidP="00013A94">
      <w:r w:rsidRPr="002E1496">
        <w:rPr>
          <w:rStyle w:val="Heading3Char"/>
        </w:rPr>
        <w:t>Summary of highlights in the year in DAC</w:t>
      </w:r>
      <w:r>
        <w:t xml:space="preserve"> </w:t>
      </w:r>
    </w:p>
    <w:p w:rsidR="00185DC5" w:rsidRPr="00185DC5" w:rsidRDefault="00185DC5" w:rsidP="00185DC5">
      <w:pPr>
        <w:pStyle w:val="ListParagraph"/>
        <w:numPr>
          <w:ilvl w:val="0"/>
          <w:numId w:val="12"/>
        </w:numPr>
        <w:contextualSpacing/>
        <w:rPr>
          <w:rFonts w:cstheme="minorHAnsi"/>
        </w:rPr>
      </w:pPr>
      <w:r w:rsidRPr="00185DC5">
        <w:rPr>
          <w:rFonts w:cstheme="minorHAnsi"/>
        </w:rPr>
        <w:t>Major new datasets archived</w:t>
      </w:r>
    </w:p>
    <w:p w:rsidR="00185DC5" w:rsidRDefault="00013A94" w:rsidP="00185DC5">
      <w:pPr>
        <w:pStyle w:val="ListParagraph"/>
        <w:numPr>
          <w:ilvl w:val="0"/>
          <w:numId w:val="12"/>
        </w:numPr>
        <w:contextualSpacing/>
      </w:pPr>
      <w:r>
        <w:t>Major new developments</w:t>
      </w:r>
      <w:r w:rsidR="00220A20">
        <w:t>/capabilities</w:t>
      </w:r>
    </w:p>
    <w:p w:rsidR="00013A94" w:rsidRDefault="00185DC5" w:rsidP="00185DC5">
      <w:pPr>
        <w:pStyle w:val="ListParagraph"/>
        <w:numPr>
          <w:ilvl w:val="0"/>
          <w:numId w:val="12"/>
        </w:numPr>
        <w:contextualSpacing/>
      </w:pPr>
      <w:r>
        <w:lastRenderedPageBreak/>
        <w:t xml:space="preserve">New </w:t>
      </w:r>
      <w:r w:rsidR="00013A94">
        <w:t>projects</w:t>
      </w:r>
    </w:p>
    <w:p w:rsidR="00185DC5" w:rsidRPr="00185DC5" w:rsidRDefault="00185DC5" w:rsidP="00185DC5">
      <w:pPr>
        <w:pStyle w:val="ListParagraph"/>
        <w:numPr>
          <w:ilvl w:val="0"/>
          <w:numId w:val="12"/>
        </w:numPr>
        <w:contextualSpacing/>
        <w:rPr>
          <w:rFonts w:cstheme="minorHAnsi"/>
        </w:rPr>
      </w:pPr>
      <w:r w:rsidRPr="00185DC5">
        <w:rPr>
          <w:rFonts w:cstheme="minorHAnsi"/>
        </w:rPr>
        <w:t>New funding streams</w:t>
      </w:r>
    </w:p>
    <w:p w:rsidR="00185DC5" w:rsidRDefault="00185DC5" w:rsidP="00185DC5">
      <w:pPr>
        <w:contextualSpacing/>
      </w:pPr>
    </w:p>
    <w:p w:rsidR="00185DC5" w:rsidRPr="00FA7E2F" w:rsidRDefault="00185DC5" w:rsidP="00185DC5">
      <w:pPr>
        <w:pStyle w:val="Heading3"/>
      </w:pPr>
      <w:r w:rsidRPr="00FA7E2F">
        <w:t>Data Dissemination</w:t>
      </w:r>
    </w:p>
    <w:p w:rsidR="00185DC5" w:rsidRPr="00FA7E2F" w:rsidRDefault="00185DC5" w:rsidP="00185DC5">
      <w:pPr>
        <w:pStyle w:val="ListParagraph"/>
        <w:numPr>
          <w:ilvl w:val="0"/>
          <w:numId w:val="10"/>
        </w:numPr>
        <w:contextualSpacing/>
        <w:rPr>
          <w:rFonts w:cstheme="minorHAnsi"/>
        </w:rPr>
      </w:pPr>
      <w:r w:rsidRPr="00FA7E2F">
        <w:rPr>
          <w:rFonts w:cstheme="minorHAnsi"/>
        </w:rPr>
        <w:t>Describe how datasets are currently disseminated by DAC</w:t>
      </w:r>
    </w:p>
    <w:p w:rsidR="00185DC5" w:rsidRPr="00FA7E2F" w:rsidRDefault="00185DC5" w:rsidP="00185DC5">
      <w:pPr>
        <w:pStyle w:val="ListParagraph"/>
        <w:numPr>
          <w:ilvl w:val="0"/>
          <w:numId w:val="10"/>
        </w:numPr>
        <w:contextualSpacing/>
        <w:rPr>
          <w:rFonts w:cstheme="minorHAnsi"/>
        </w:rPr>
      </w:pPr>
      <w:r w:rsidRPr="00FA7E2F">
        <w:rPr>
          <w:rFonts w:cstheme="minorHAnsi"/>
        </w:rPr>
        <w:t>Describe any improvements to access</w:t>
      </w:r>
    </w:p>
    <w:p w:rsidR="00185DC5" w:rsidRPr="00FA7E2F" w:rsidRDefault="00185DC5" w:rsidP="00185DC5">
      <w:pPr>
        <w:pStyle w:val="ListParagraph"/>
        <w:numPr>
          <w:ilvl w:val="0"/>
          <w:numId w:val="10"/>
        </w:numPr>
        <w:contextualSpacing/>
        <w:rPr>
          <w:rFonts w:cstheme="minorHAnsi"/>
        </w:rPr>
      </w:pPr>
      <w:r w:rsidRPr="00FA7E2F">
        <w:rPr>
          <w:rFonts w:cstheme="minorHAnsi"/>
        </w:rPr>
        <w:t>List any third party portals that the data are made available through</w:t>
      </w:r>
    </w:p>
    <w:p w:rsidR="00185DC5" w:rsidRDefault="00185DC5" w:rsidP="00185DC5">
      <w:pPr>
        <w:pStyle w:val="ListParagraph"/>
        <w:numPr>
          <w:ilvl w:val="0"/>
          <w:numId w:val="10"/>
        </w:numPr>
        <w:rPr>
          <w:rStyle w:val="Heading3Char"/>
        </w:rPr>
      </w:pPr>
      <w:r w:rsidRPr="00185DC5">
        <w:rPr>
          <w:rFonts w:cstheme="minorHAnsi"/>
        </w:rPr>
        <w:t>Describe data licensing arrangements</w:t>
      </w:r>
    </w:p>
    <w:p w:rsidR="00185DC5" w:rsidRDefault="00185DC5" w:rsidP="00013A94">
      <w:pPr>
        <w:rPr>
          <w:rStyle w:val="Heading3Char"/>
        </w:rPr>
      </w:pPr>
    </w:p>
    <w:p w:rsidR="00185DC5" w:rsidRPr="00187B2B" w:rsidRDefault="00185DC5" w:rsidP="00185DC5">
      <w:pPr>
        <w:pStyle w:val="Heading3"/>
        <w:rPr>
          <w:color w:val="000000"/>
        </w:rPr>
      </w:pPr>
      <w:r w:rsidRPr="00187B2B">
        <w:t>Data Standards and Data Quality</w:t>
      </w:r>
    </w:p>
    <w:p w:rsidR="00185DC5" w:rsidRDefault="00185DC5" w:rsidP="00185DC5">
      <w:pPr>
        <w:pStyle w:val="ListParagraph"/>
        <w:numPr>
          <w:ilvl w:val="0"/>
          <w:numId w:val="11"/>
        </w:numPr>
        <w:rPr>
          <w:rFonts w:cstheme="minorHAnsi"/>
        </w:rPr>
      </w:pPr>
      <w:r w:rsidRPr="00FA7E2F">
        <w:rPr>
          <w:rFonts w:cstheme="minorHAnsi"/>
        </w:rPr>
        <w:t>Are depositors making use of MEDIN guidelines?</w:t>
      </w:r>
      <w:r>
        <w:rPr>
          <w:rFonts w:cstheme="minorHAnsi"/>
        </w:rPr>
        <w:t xml:space="preserve"> (Y/N/don’t know)</w:t>
      </w:r>
    </w:p>
    <w:p w:rsidR="00185DC5" w:rsidRPr="00FA7E2F" w:rsidRDefault="00185DC5" w:rsidP="00185DC5">
      <w:pPr>
        <w:pStyle w:val="ListParagraph"/>
        <w:numPr>
          <w:ilvl w:val="0"/>
          <w:numId w:val="11"/>
        </w:numPr>
        <w:rPr>
          <w:rFonts w:cstheme="minorHAnsi"/>
        </w:rPr>
      </w:pPr>
      <w:r>
        <w:rPr>
          <w:rFonts w:cstheme="minorHAnsi"/>
        </w:rPr>
        <w:t>Which guidelines are being used?</w:t>
      </w:r>
    </w:p>
    <w:p w:rsidR="00185DC5" w:rsidRDefault="00185DC5" w:rsidP="00185DC5">
      <w:pPr>
        <w:pStyle w:val="ListParagraph"/>
        <w:numPr>
          <w:ilvl w:val="0"/>
          <w:numId w:val="11"/>
        </w:numPr>
        <w:rPr>
          <w:rStyle w:val="Heading3Char"/>
        </w:rPr>
      </w:pPr>
      <w:r w:rsidRPr="00185DC5">
        <w:rPr>
          <w:rFonts w:cstheme="minorHAnsi"/>
        </w:rPr>
        <w:t>Is use of MEDIN guidelines making it easier to ingest data into DACs?</w:t>
      </w:r>
    </w:p>
    <w:p w:rsidR="00185DC5" w:rsidRDefault="00185DC5" w:rsidP="00013A94">
      <w:pPr>
        <w:rPr>
          <w:rStyle w:val="Heading3Char"/>
        </w:rPr>
      </w:pPr>
    </w:p>
    <w:p w:rsidR="00013A94" w:rsidRDefault="00013A94" w:rsidP="00013A94">
      <w:r w:rsidRPr="002E1496">
        <w:rPr>
          <w:rStyle w:val="Heading3Char"/>
        </w:rPr>
        <w:t>Funding situation</w:t>
      </w:r>
      <w:r>
        <w:t xml:space="preserve"> </w:t>
      </w:r>
    </w:p>
    <w:p w:rsidR="00013A94" w:rsidRDefault="00013A94" w:rsidP="00013A94">
      <w:pPr>
        <w:pStyle w:val="ListParagraph"/>
        <w:numPr>
          <w:ilvl w:val="0"/>
          <w:numId w:val="5"/>
        </w:numPr>
        <w:spacing w:after="160" w:line="259" w:lineRule="auto"/>
        <w:contextualSpacing/>
      </w:pPr>
      <w:r>
        <w:t>Describe current funding situ</w:t>
      </w:r>
      <w:r w:rsidR="00185DC5">
        <w:t>ation, e.g. next 3-5 years, or whatever timescale is appropriate</w:t>
      </w:r>
    </w:p>
    <w:p w:rsidR="00013A94" w:rsidRDefault="00013A94" w:rsidP="00013A94">
      <w:pPr>
        <w:pStyle w:val="ListParagraph"/>
        <w:numPr>
          <w:ilvl w:val="0"/>
          <w:numId w:val="5"/>
        </w:numPr>
        <w:spacing w:after="160" w:line="259" w:lineRule="auto"/>
        <w:contextualSpacing/>
      </w:pPr>
      <w:r>
        <w:t>Highlight any changes from previous year</w:t>
      </w:r>
    </w:p>
    <w:p w:rsidR="00013A94" w:rsidRDefault="00013A94" w:rsidP="00013A94">
      <w:pPr>
        <w:rPr>
          <w:rStyle w:val="Heading3Char"/>
        </w:rPr>
      </w:pPr>
    </w:p>
    <w:p w:rsidR="00185DC5" w:rsidRPr="00187B2B" w:rsidRDefault="00185DC5" w:rsidP="00185DC5">
      <w:pPr>
        <w:pStyle w:val="Heading3"/>
      </w:pPr>
      <w:r w:rsidRPr="00187B2B">
        <w:t>MEDIN-specific activities</w:t>
      </w:r>
    </w:p>
    <w:p w:rsidR="00185DC5" w:rsidRPr="00D71BEB" w:rsidRDefault="00185DC5" w:rsidP="00185DC5">
      <w:pPr>
        <w:pStyle w:val="ListParagraph"/>
        <w:numPr>
          <w:ilvl w:val="0"/>
          <w:numId w:val="6"/>
        </w:numPr>
        <w:spacing w:after="160" w:line="259" w:lineRule="auto"/>
        <w:contextualSpacing/>
        <w:rPr>
          <w:rFonts w:asciiTheme="minorHAnsi" w:hAnsiTheme="minorHAnsi" w:cstheme="minorHAnsi"/>
        </w:rPr>
      </w:pPr>
      <w:r w:rsidRPr="00D71BEB">
        <w:rPr>
          <w:rFonts w:asciiTheme="minorHAnsi" w:hAnsiTheme="minorHAnsi" w:cstheme="minorHAnsi"/>
        </w:rPr>
        <w:t>What was annual MEDIN DAC funding used for?</w:t>
      </w:r>
    </w:p>
    <w:p w:rsidR="00185DC5" w:rsidRPr="00D71BEB" w:rsidRDefault="00185DC5" w:rsidP="00185DC5">
      <w:pPr>
        <w:pStyle w:val="ListParagraph"/>
        <w:numPr>
          <w:ilvl w:val="0"/>
          <w:numId w:val="6"/>
        </w:numPr>
        <w:spacing w:after="160" w:line="259" w:lineRule="auto"/>
        <w:contextualSpacing/>
        <w:rPr>
          <w:rFonts w:asciiTheme="minorHAnsi" w:hAnsiTheme="minorHAnsi" w:cstheme="minorHAnsi"/>
        </w:rPr>
      </w:pPr>
      <w:r w:rsidRPr="00D71BEB">
        <w:rPr>
          <w:rFonts w:asciiTheme="minorHAnsi" w:hAnsiTheme="minorHAnsi" w:cstheme="minorHAnsi"/>
        </w:rPr>
        <w:t>Describe any MEDIN-funded small projects</w:t>
      </w:r>
    </w:p>
    <w:p w:rsidR="00185DC5" w:rsidRDefault="00185DC5" w:rsidP="00185DC5">
      <w:pPr>
        <w:pStyle w:val="ListParagraph"/>
        <w:numPr>
          <w:ilvl w:val="0"/>
          <w:numId w:val="6"/>
        </w:numPr>
        <w:spacing w:after="160" w:line="259" w:lineRule="auto"/>
        <w:contextualSpacing/>
        <w:rPr>
          <w:rFonts w:asciiTheme="minorHAnsi" w:hAnsiTheme="minorHAnsi" w:cstheme="minorHAnsi"/>
        </w:rPr>
      </w:pPr>
      <w:r>
        <w:rPr>
          <w:rFonts w:asciiTheme="minorHAnsi" w:hAnsiTheme="minorHAnsi" w:cstheme="minorHAnsi"/>
        </w:rPr>
        <w:t>MEDIN workshops/</w:t>
      </w:r>
      <w:r w:rsidRPr="00D71BEB">
        <w:rPr>
          <w:rFonts w:asciiTheme="minorHAnsi" w:hAnsiTheme="minorHAnsi" w:cstheme="minorHAnsi"/>
        </w:rPr>
        <w:t>meetings attended</w:t>
      </w:r>
    </w:p>
    <w:p w:rsidR="00185DC5" w:rsidRPr="00185DC5" w:rsidRDefault="00185DC5" w:rsidP="00185DC5">
      <w:pPr>
        <w:pStyle w:val="ListParagraph"/>
        <w:numPr>
          <w:ilvl w:val="0"/>
          <w:numId w:val="6"/>
        </w:numPr>
        <w:spacing w:after="160" w:line="259" w:lineRule="auto"/>
        <w:contextualSpacing/>
        <w:rPr>
          <w:rStyle w:val="Heading3Char"/>
          <w:rFonts w:asciiTheme="minorHAnsi" w:eastAsia="Calibri" w:hAnsiTheme="minorHAnsi" w:cstheme="minorHAnsi"/>
          <w:color w:val="auto"/>
          <w:sz w:val="22"/>
          <w:szCs w:val="22"/>
        </w:rPr>
      </w:pPr>
      <w:r w:rsidRPr="00185DC5">
        <w:rPr>
          <w:rFonts w:asciiTheme="minorHAnsi" w:hAnsiTheme="minorHAnsi" w:cstheme="minorHAnsi"/>
        </w:rPr>
        <w:t>Collaboration with other MEDIN DACs</w:t>
      </w:r>
    </w:p>
    <w:p w:rsidR="00220A20" w:rsidRDefault="00220A20" w:rsidP="00185DC5">
      <w:pPr>
        <w:pStyle w:val="Heading3"/>
      </w:pPr>
    </w:p>
    <w:p w:rsidR="00185DC5" w:rsidRDefault="00185DC5" w:rsidP="00185DC5">
      <w:pPr>
        <w:pStyle w:val="Heading3"/>
      </w:pPr>
      <w:r w:rsidRPr="00FA7E2F">
        <w:t>In-kind support for MEDIN</w:t>
      </w:r>
    </w:p>
    <w:p w:rsidR="00185DC5" w:rsidRDefault="00185DC5" w:rsidP="00185DC5">
      <w:pPr>
        <w:numPr>
          <w:ilvl w:val="0"/>
          <w:numId w:val="3"/>
        </w:numPr>
        <w:spacing w:before="40"/>
        <w:ind w:left="448" w:hanging="357"/>
        <w:rPr>
          <w:rFonts w:cstheme="minorHAnsi"/>
        </w:rPr>
      </w:pPr>
      <w:r w:rsidRPr="00D71BEB">
        <w:rPr>
          <w:rFonts w:cstheme="minorHAnsi"/>
          <w:color w:val="000000"/>
        </w:rPr>
        <w:t>Estimate total cost of in-kind support to MEDIN</w:t>
      </w:r>
      <w:r w:rsidRPr="00D71BEB">
        <w:rPr>
          <w:rFonts w:cstheme="minorHAnsi"/>
        </w:rPr>
        <w:t xml:space="preserve"> </w:t>
      </w:r>
      <w:r>
        <w:rPr>
          <w:rFonts w:cstheme="minorHAnsi"/>
        </w:rPr>
        <w:t>(£)</w:t>
      </w:r>
    </w:p>
    <w:p w:rsidR="00185DC5" w:rsidRPr="00D71BEB" w:rsidRDefault="00185DC5" w:rsidP="00B04A1A">
      <w:pPr>
        <w:numPr>
          <w:ilvl w:val="1"/>
          <w:numId w:val="3"/>
        </w:numPr>
        <w:spacing w:before="40" w:after="0" w:line="240" w:lineRule="auto"/>
        <w:ind w:left="1434" w:hanging="357"/>
        <w:rPr>
          <w:rFonts w:cstheme="minorHAnsi"/>
        </w:rPr>
      </w:pPr>
      <w:r w:rsidRPr="00D71BEB">
        <w:rPr>
          <w:rFonts w:cstheme="minorHAnsi"/>
        </w:rPr>
        <w:t>Staff time</w:t>
      </w:r>
    </w:p>
    <w:p w:rsidR="00185DC5" w:rsidRPr="00D71BEB" w:rsidRDefault="00185DC5" w:rsidP="00B04A1A">
      <w:pPr>
        <w:numPr>
          <w:ilvl w:val="1"/>
          <w:numId w:val="3"/>
        </w:numPr>
        <w:spacing w:after="0" w:line="240" w:lineRule="auto"/>
        <w:ind w:left="1434" w:hanging="357"/>
        <w:rPr>
          <w:rFonts w:cstheme="minorHAnsi"/>
        </w:rPr>
      </w:pPr>
      <w:r w:rsidRPr="00D71BEB">
        <w:rPr>
          <w:rFonts w:cstheme="minorHAnsi"/>
        </w:rPr>
        <w:t>Travel Costs</w:t>
      </w:r>
    </w:p>
    <w:p w:rsidR="00185DC5" w:rsidRPr="00D71BEB" w:rsidRDefault="00185DC5" w:rsidP="00B04A1A">
      <w:pPr>
        <w:numPr>
          <w:ilvl w:val="1"/>
          <w:numId w:val="3"/>
        </w:numPr>
        <w:spacing w:after="0" w:line="240" w:lineRule="auto"/>
        <w:ind w:left="1434" w:hanging="357"/>
        <w:rPr>
          <w:rFonts w:cstheme="minorHAnsi"/>
        </w:rPr>
      </w:pPr>
      <w:r w:rsidRPr="00D71BEB">
        <w:rPr>
          <w:rFonts w:cstheme="minorHAnsi"/>
        </w:rPr>
        <w:t>Hardware, software</w:t>
      </w:r>
    </w:p>
    <w:p w:rsidR="00185DC5" w:rsidRPr="00D71BEB" w:rsidRDefault="00185DC5" w:rsidP="00B04A1A">
      <w:pPr>
        <w:numPr>
          <w:ilvl w:val="1"/>
          <w:numId w:val="3"/>
        </w:numPr>
        <w:spacing w:after="0" w:line="240" w:lineRule="auto"/>
        <w:ind w:left="1434" w:hanging="357"/>
        <w:rPr>
          <w:rFonts w:cstheme="minorHAnsi"/>
        </w:rPr>
      </w:pPr>
      <w:r w:rsidRPr="00D71BEB">
        <w:rPr>
          <w:rFonts w:cstheme="minorHAnsi"/>
        </w:rPr>
        <w:t>Provision of Meeting Rooms</w:t>
      </w:r>
    </w:p>
    <w:p w:rsidR="00220A20" w:rsidRDefault="00220A20" w:rsidP="00185DC5">
      <w:pPr>
        <w:pStyle w:val="Heading3"/>
      </w:pPr>
    </w:p>
    <w:p w:rsidR="00185DC5" w:rsidRDefault="00185DC5" w:rsidP="00185DC5">
      <w:pPr>
        <w:pStyle w:val="Heading3"/>
      </w:pPr>
      <w:r>
        <w:t>D</w:t>
      </w:r>
      <w:r w:rsidRPr="00187B2B">
        <w:t>ifficulties meeting MEDIN obligations</w:t>
      </w:r>
    </w:p>
    <w:p w:rsidR="00013A94" w:rsidRDefault="00185DC5" w:rsidP="00185DC5">
      <w:pPr>
        <w:pStyle w:val="ListParagraph"/>
        <w:numPr>
          <w:ilvl w:val="0"/>
          <w:numId w:val="13"/>
        </w:numPr>
      </w:pPr>
      <w:r w:rsidRPr="00185DC5">
        <w:rPr>
          <w:rFonts w:cstheme="minorHAnsi"/>
        </w:rPr>
        <w:t>Describe any difficulties/issues in meeting MEDIN obligations</w:t>
      </w:r>
    </w:p>
    <w:sectPr w:rsidR="00013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A1C"/>
    <w:multiLevelType w:val="hybridMultilevel"/>
    <w:tmpl w:val="6BAA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D2535"/>
    <w:multiLevelType w:val="hybridMultilevel"/>
    <w:tmpl w:val="3238E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194482"/>
    <w:multiLevelType w:val="hybridMultilevel"/>
    <w:tmpl w:val="C0F61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5A03D6"/>
    <w:multiLevelType w:val="hybridMultilevel"/>
    <w:tmpl w:val="8D66E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BE1A2E"/>
    <w:multiLevelType w:val="hybridMultilevel"/>
    <w:tmpl w:val="EBDC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B0DFA"/>
    <w:multiLevelType w:val="hybridMultilevel"/>
    <w:tmpl w:val="EAC65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A7A48"/>
    <w:multiLevelType w:val="hybridMultilevel"/>
    <w:tmpl w:val="AA30A28E"/>
    <w:lvl w:ilvl="0" w:tplc="C5AE31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D4F96"/>
    <w:multiLevelType w:val="hybridMultilevel"/>
    <w:tmpl w:val="5ECC2DE0"/>
    <w:lvl w:ilvl="0" w:tplc="509002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220D6"/>
    <w:multiLevelType w:val="hybridMultilevel"/>
    <w:tmpl w:val="CF661F5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995BAB"/>
    <w:multiLevelType w:val="hybridMultilevel"/>
    <w:tmpl w:val="6FC43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611B8C"/>
    <w:multiLevelType w:val="hybridMultilevel"/>
    <w:tmpl w:val="540A57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B0354E"/>
    <w:multiLevelType w:val="hybridMultilevel"/>
    <w:tmpl w:val="3D4E6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241C51"/>
    <w:multiLevelType w:val="hybridMultilevel"/>
    <w:tmpl w:val="1EE0B76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8"/>
  </w:num>
  <w:num w:numId="4">
    <w:abstractNumId w:val="11"/>
  </w:num>
  <w:num w:numId="5">
    <w:abstractNumId w:val="2"/>
  </w:num>
  <w:num w:numId="6">
    <w:abstractNumId w:val="3"/>
  </w:num>
  <w:num w:numId="7">
    <w:abstractNumId w:val="1"/>
  </w:num>
  <w:num w:numId="8">
    <w:abstractNumId w:val="5"/>
  </w:num>
  <w:num w:numId="9">
    <w:abstractNumId w:val="9"/>
  </w:num>
  <w:num w:numId="10">
    <w:abstractNumId w:val="7"/>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666"/>
    <w:rsid w:val="00013A94"/>
    <w:rsid w:val="00086666"/>
    <w:rsid w:val="001235BE"/>
    <w:rsid w:val="00185DC5"/>
    <w:rsid w:val="00187B2B"/>
    <w:rsid w:val="001C50A6"/>
    <w:rsid w:val="001C6065"/>
    <w:rsid w:val="001F345E"/>
    <w:rsid w:val="00220A20"/>
    <w:rsid w:val="002A207C"/>
    <w:rsid w:val="0038222B"/>
    <w:rsid w:val="003D0F80"/>
    <w:rsid w:val="004B4596"/>
    <w:rsid w:val="007E720A"/>
    <w:rsid w:val="0084035A"/>
    <w:rsid w:val="0094231C"/>
    <w:rsid w:val="00A6316E"/>
    <w:rsid w:val="00B04A1A"/>
    <w:rsid w:val="00B2702D"/>
    <w:rsid w:val="00B50695"/>
    <w:rsid w:val="00BA7C64"/>
    <w:rsid w:val="00BB43FE"/>
    <w:rsid w:val="00CF603C"/>
    <w:rsid w:val="00D71BEB"/>
    <w:rsid w:val="00DC75AB"/>
    <w:rsid w:val="00E0783E"/>
    <w:rsid w:val="00E23EC1"/>
    <w:rsid w:val="00EE128F"/>
    <w:rsid w:val="00EE477F"/>
    <w:rsid w:val="00FA7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CD2A"/>
  <w15:chartTrackingRefBased/>
  <w15:docId w15:val="{67A75E7C-8633-4F01-8080-20260ACC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7C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3A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13A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666"/>
    <w:pPr>
      <w:spacing w:after="0" w:line="240" w:lineRule="auto"/>
      <w:ind w:left="720"/>
    </w:pPr>
    <w:rPr>
      <w:rFonts w:ascii="Calibri" w:eastAsia="Calibri" w:hAnsi="Calibri" w:cs="Times New Roman"/>
    </w:rPr>
  </w:style>
  <w:style w:type="character" w:styleId="Hyperlink">
    <w:name w:val="Hyperlink"/>
    <w:basedOn w:val="DefaultParagraphFont"/>
    <w:rsid w:val="00086666"/>
    <w:rPr>
      <w:color w:val="0000FF"/>
      <w:u w:val="single"/>
    </w:rPr>
  </w:style>
  <w:style w:type="character" w:customStyle="1" w:styleId="Heading1Char">
    <w:name w:val="Heading 1 Char"/>
    <w:basedOn w:val="DefaultParagraphFont"/>
    <w:link w:val="Heading1"/>
    <w:uiPriority w:val="9"/>
    <w:rsid w:val="00BA7C6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3A9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13A94"/>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13A94"/>
    <w:rPr>
      <w:sz w:val="16"/>
      <w:szCs w:val="16"/>
    </w:rPr>
  </w:style>
  <w:style w:type="paragraph" w:styleId="CommentText">
    <w:name w:val="annotation text"/>
    <w:basedOn w:val="Normal"/>
    <w:link w:val="CommentTextChar"/>
    <w:uiPriority w:val="99"/>
    <w:semiHidden/>
    <w:unhideWhenUsed/>
    <w:rsid w:val="00013A94"/>
    <w:pPr>
      <w:spacing w:line="240" w:lineRule="auto"/>
    </w:pPr>
    <w:rPr>
      <w:sz w:val="20"/>
      <w:szCs w:val="20"/>
    </w:rPr>
  </w:style>
  <w:style w:type="character" w:customStyle="1" w:styleId="CommentTextChar">
    <w:name w:val="Comment Text Char"/>
    <w:basedOn w:val="DefaultParagraphFont"/>
    <w:link w:val="CommentText"/>
    <w:uiPriority w:val="99"/>
    <w:semiHidden/>
    <w:rsid w:val="00013A94"/>
    <w:rPr>
      <w:sz w:val="20"/>
      <w:szCs w:val="20"/>
    </w:rPr>
  </w:style>
  <w:style w:type="paragraph" w:styleId="BalloonText">
    <w:name w:val="Balloon Text"/>
    <w:basedOn w:val="Normal"/>
    <w:link w:val="BalloonTextChar"/>
    <w:uiPriority w:val="99"/>
    <w:semiHidden/>
    <w:unhideWhenUsed/>
    <w:rsid w:val="00013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shoredata@bg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n@bgs.ac.uk" TargetMode="External"/><Relationship Id="rId12" Type="http://schemas.openxmlformats.org/officeDocument/2006/relationships/hyperlink" Target="https://www.gov.uk/government/groups/marine-science-co-ordination-commit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groups/marine-science-co-ordination-committee" TargetMode="External"/><Relationship Id="rId11" Type="http://schemas.openxmlformats.org/officeDocument/2006/relationships/hyperlink" Target="https://www.bgs.ac.uk/nhda/holdings.html" TargetMode="External"/><Relationship Id="rId5" Type="http://schemas.openxmlformats.org/officeDocument/2006/relationships/hyperlink" Target="https://www.gov.uk/government/groups/marine-science-co-ordination-committee" TargetMode="External"/><Relationship Id="rId10" Type="http://schemas.openxmlformats.org/officeDocument/2006/relationships/hyperlink" Target="https://www.bgs.ac.uk/data/search/search.cfc?method=selectData" TargetMode="External"/><Relationship Id="rId4" Type="http://schemas.openxmlformats.org/officeDocument/2006/relationships/webSettings" Target="webSettings.xml"/><Relationship Id="rId9" Type="http://schemas.openxmlformats.org/officeDocument/2006/relationships/hyperlink" Target="http://www.bgs.ac.uk/services/ngdc/management/marine/hom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McCandliss, Robin R.</dc:creator>
  <cp:keywords/>
  <dc:description/>
  <cp:lastModifiedBy>McCandliss, Robin R.</cp:lastModifiedBy>
  <cp:revision>21</cp:revision>
  <dcterms:created xsi:type="dcterms:W3CDTF">2019-11-22T13:56:00Z</dcterms:created>
  <dcterms:modified xsi:type="dcterms:W3CDTF">2019-11-27T09:22:00Z</dcterms:modified>
</cp:coreProperties>
</file>