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80D3A9" w14:textId="37AB3D7B" w:rsidR="00BA4486" w:rsidRDefault="0072571D" w:rsidP="00A50C9B">
      <w:pPr>
        <w:pStyle w:val="Heading1"/>
      </w:pPr>
      <w:r>
        <w:t>MEDIN Provenance tracking</w:t>
      </w:r>
      <w:r w:rsidR="00A50C9B">
        <w:t xml:space="preserve"> – Part 2</w:t>
      </w:r>
    </w:p>
    <w:p w14:paraId="3115A29F" w14:textId="77777777" w:rsidR="0083074D" w:rsidRPr="0083074D" w:rsidRDefault="0083074D" w:rsidP="00A50C9B">
      <w:pPr>
        <w:spacing w:after="0" w:line="240" w:lineRule="auto"/>
        <w:jc w:val="both"/>
        <w:textAlignment w:val="baseline"/>
        <w:rPr>
          <w:rFonts w:ascii="Segoe UI" w:eastAsia="Times New Roman" w:hAnsi="Segoe UI" w:cs="Segoe UI"/>
          <w:sz w:val="18"/>
          <w:szCs w:val="18"/>
          <w:lang w:eastAsia="en-GB"/>
        </w:rPr>
      </w:pPr>
      <w:r w:rsidRPr="0083074D">
        <w:rPr>
          <w:rFonts w:ascii="Calibri" w:eastAsia="Times New Roman" w:hAnsi="Calibri" w:cs="Segoe UI"/>
          <w:lang w:eastAsia="en-GB"/>
        </w:rPr>
        <w:t>One of the tasks in the new MEDIN Business Plan (2019-24) is to develop a DAC-wide approach to provenance tracking, with a particular focus on better capture of originator information.  </w:t>
      </w:r>
    </w:p>
    <w:p w14:paraId="2BBEA9C4" w14:textId="77777777" w:rsidR="00FB3C71" w:rsidRDefault="00FB3C71" w:rsidP="00A50C9B">
      <w:pPr>
        <w:spacing w:after="0" w:line="240" w:lineRule="auto"/>
        <w:jc w:val="both"/>
        <w:textAlignment w:val="baseline"/>
        <w:rPr>
          <w:rFonts w:ascii="Calibri" w:eastAsia="Times New Roman" w:hAnsi="Calibri" w:cs="Segoe UI"/>
          <w:lang w:eastAsia="en-GB"/>
        </w:rPr>
      </w:pPr>
    </w:p>
    <w:p w14:paraId="6C5C2B51" w14:textId="7AF6C5D6" w:rsidR="00FB3C71" w:rsidRDefault="00FB3C71" w:rsidP="00A50C9B">
      <w:pPr>
        <w:spacing w:after="0" w:line="240" w:lineRule="auto"/>
        <w:jc w:val="both"/>
        <w:textAlignment w:val="baseline"/>
        <w:rPr>
          <w:rStyle w:val="normaltextrun"/>
          <w:rFonts w:ascii="Calibri" w:hAnsi="Calibri"/>
          <w:color w:val="000000"/>
          <w:bdr w:val="none" w:sz="0" w:space="0" w:color="auto" w:frame="1"/>
        </w:rPr>
      </w:pPr>
      <w:r>
        <w:rPr>
          <w:rFonts w:ascii="Calibri" w:eastAsia="Times New Roman" w:hAnsi="Calibri" w:cs="Segoe UI"/>
          <w:lang w:eastAsia="en-GB"/>
        </w:rPr>
        <w:t xml:space="preserve">A questionnaire was </w:t>
      </w:r>
      <w:r w:rsidR="00072817">
        <w:rPr>
          <w:rFonts w:ascii="Calibri" w:eastAsia="Times New Roman" w:hAnsi="Calibri" w:cs="Segoe UI"/>
          <w:lang w:eastAsia="en-GB"/>
        </w:rPr>
        <w:t>circulated</w:t>
      </w:r>
      <w:r>
        <w:rPr>
          <w:rFonts w:ascii="Calibri" w:eastAsia="Times New Roman" w:hAnsi="Calibri" w:cs="Segoe UI"/>
          <w:lang w:eastAsia="en-GB"/>
        </w:rPr>
        <w:t xml:space="preserve"> </w:t>
      </w:r>
      <w:r>
        <w:rPr>
          <w:rStyle w:val="normaltextrun"/>
          <w:rFonts w:ascii="Calibri" w:hAnsi="Calibri"/>
          <w:color w:val="000000"/>
          <w:bdr w:val="none" w:sz="0" w:space="0" w:color="auto" w:frame="1"/>
        </w:rPr>
        <w:t>based on elements relating to provenance present in the MEDIN Discovery Metadata Standard. The questionnaire was designed to capture how the DACs populate these fields and was sent to the DACs in April 2020.</w:t>
      </w:r>
    </w:p>
    <w:p w14:paraId="608FF7F0" w14:textId="77777777" w:rsidR="00072817" w:rsidRDefault="00072817" w:rsidP="00A50C9B">
      <w:pPr>
        <w:spacing w:after="0" w:line="240" w:lineRule="auto"/>
        <w:jc w:val="both"/>
        <w:textAlignment w:val="baseline"/>
        <w:rPr>
          <w:rFonts w:ascii="Calibri" w:eastAsia="Times New Roman" w:hAnsi="Calibri" w:cs="Segoe UI"/>
          <w:lang w:eastAsia="en-GB"/>
        </w:rPr>
      </w:pPr>
    </w:p>
    <w:p w14:paraId="3CE0F856" w14:textId="58E5D85D" w:rsidR="00FB3C71" w:rsidRDefault="00072817" w:rsidP="00A50C9B">
      <w:pPr>
        <w:spacing w:after="0" w:line="240" w:lineRule="auto"/>
        <w:jc w:val="both"/>
        <w:textAlignment w:val="baseline"/>
        <w:rPr>
          <w:rFonts w:ascii="Calibri" w:eastAsia="Times New Roman" w:hAnsi="Calibri" w:cs="Segoe UI"/>
          <w:lang w:eastAsia="en-GB"/>
        </w:rPr>
      </w:pPr>
      <w:r>
        <w:rPr>
          <w:rFonts w:ascii="Calibri" w:eastAsia="Times New Roman" w:hAnsi="Calibri" w:cs="Segoe UI"/>
          <w:lang w:eastAsia="en-GB"/>
        </w:rPr>
        <w:t xml:space="preserve">A follow up questionnaire was sent out in January 2021 focusing on the </w:t>
      </w:r>
      <w:r w:rsidR="00FB3C71" w:rsidRPr="00FB3C71">
        <w:rPr>
          <w:rFonts w:ascii="Calibri" w:eastAsia="Times New Roman" w:hAnsi="Calibri" w:cs="Segoe UI"/>
          <w:lang w:eastAsia="en-GB"/>
        </w:rPr>
        <w:t xml:space="preserve">provenance-related metadata fields where MEDIN specifies a controlled vocabulary. </w:t>
      </w:r>
      <w:r>
        <w:rPr>
          <w:rFonts w:ascii="Calibri" w:eastAsia="Times New Roman" w:hAnsi="Calibri" w:cs="Segoe UI"/>
          <w:lang w:eastAsia="en-GB"/>
        </w:rPr>
        <w:t xml:space="preserve">The aim was to better </w:t>
      </w:r>
      <w:r w:rsidR="00FB3C71" w:rsidRPr="00FB3C71">
        <w:rPr>
          <w:rFonts w:ascii="Calibri" w:eastAsia="Times New Roman" w:hAnsi="Calibri" w:cs="Segoe UI"/>
          <w:lang w:eastAsia="en-GB"/>
        </w:rPr>
        <w:t xml:space="preserve">capture what the issues are and what might be done to enable the DACs to adopt </w:t>
      </w:r>
      <w:r w:rsidR="00A50C9B">
        <w:rPr>
          <w:rFonts w:ascii="Calibri" w:eastAsia="Times New Roman" w:hAnsi="Calibri" w:cs="Segoe UI"/>
          <w:lang w:eastAsia="en-GB"/>
        </w:rPr>
        <w:t xml:space="preserve">MEDIN-recommended </w:t>
      </w:r>
      <w:r>
        <w:rPr>
          <w:rFonts w:ascii="Calibri" w:eastAsia="Times New Roman" w:hAnsi="Calibri" w:cs="Segoe UI"/>
          <w:lang w:eastAsia="en-GB"/>
        </w:rPr>
        <w:t>c</w:t>
      </w:r>
      <w:r w:rsidR="00FB3C71" w:rsidRPr="00FB3C71">
        <w:rPr>
          <w:rFonts w:ascii="Calibri" w:eastAsia="Times New Roman" w:hAnsi="Calibri" w:cs="Segoe UI"/>
          <w:lang w:eastAsia="en-GB"/>
        </w:rPr>
        <w:t>ontrolled vocabularies when populating provenance metadata. </w:t>
      </w:r>
      <w:r w:rsidR="00A50C9B">
        <w:rPr>
          <w:rFonts w:ascii="Calibri" w:eastAsia="Times New Roman" w:hAnsi="Calibri" w:cs="Segoe UI"/>
          <w:lang w:eastAsia="en-GB"/>
        </w:rPr>
        <w:t>Note that t</w:t>
      </w:r>
      <w:r w:rsidR="004A7A11">
        <w:rPr>
          <w:rFonts w:ascii="Calibri" w:eastAsia="Times New Roman" w:hAnsi="Calibri" w:cs="Segoe UI"/>
          <w:lang w:eastAsia="en-GB"/>
        </w:rPr>
        <w:t>here are only 9 out of the 10 MEDIN DACs represented here, as RCAHMW does not currently publish metadata records in the MEDIN catalogue.</w:t>
      </w:r>
    </w:p>
    <w:p w14:paraId="16CAFFEB" w14:textId="04C88C47" w:rsidR="004A7A11" w:rsidRDefault="004A7A11" w:rsidP="00FB3C71">
      <w:pPr>
        <w:spacing w:after="0" w:line="240" w:lineRule="auto"/>
        <w:textAlignment w:val="baseline"/>
        <w:rPr>
          <w:rFonts w:ascii="Calibri" w:eastAsia="Times New Roman" w:hAnsi="Calibri" w:cs="Segoe UI"/>
          <w:lang w:eastAsia="en-GB"/>
        </w:rPr>
      </w:pPr>
    </w:p>
    <w:p w14:paraId="5E7ED0EF" w14:textId="53F19B08" w:rsidR="009B1437" w:rsidRDefault="00A50C9B" w:rsidP="00A50C9B">
      <w:pPr>
        <w:pStyle w:val="Heading2"/>
        <w:rPr>
          <w:rFonts w:eastAsia="Times New Roman"/>
          <w:lang w:eastAsia="en-GB"/>
        </w:rPr>
      </w:pPr>
      <w:r>
        <w:rPr>
          <w:rFonts w:eastAsia="Times New Roman"/>
          <w:lang w:eastAsia="en-GB"/>
        </w:rPr>
        <w:t>Results</w:t>
      </w:r>
    </w:p>
    <w:p w14:paraId="1CBA3239" w14:textId="6A0B8020" w:rsidR="004A7A11" w:rsidRPr="00A50C9B" w:rsidRDefault="004A7A11" w:rsidP="00A50C9B">
      <w:pPr>
        <w:pStyle w:val="ListParagraph"/>
        <w:numPr>
          <w:ilvl w:val="0"/>
          <w:numId w:val="2"/>
        </w:numPr>
        <w:spacing w:after="0" w:line="240" w:lineRule="auto"/>
        <w:textAlignment w:val="baseline"/>
        <w:rPr>
          <w:rFonts w:ascii="Calibri" w:eastAsia="Times New Roman" w:hAnsi="Calibri" w:cs="Segoe UI"/>
          <w:b/>
          <w:u w:val="single"/>
          <w:lang w:eastAsia="en-GB"/>
        </w:rPr>
      </w:pPr>
      <w:r w:rsidRPr="00A50C9B">
        <w:rPr>
          <w:rFonts w:ascii="Calibri" w:eastAsia="Times New Roman" w:hAnsi="Calibri" w:cs="Segoe UI"/>
          <w:b/>
          <w:u w:val="single"/>
          <w:lang w:eastAsia="en-GB"/>
        </w:rPr>
        <w:t>Organisation name</w:t>
      </w:r>
    </w:p>
    <w:p w14:paraId="1F7179A8" w14:textId="4DABFDD6" w:rsidR="00AB22BD" w:rsidRDefault="00AB22BD" w:rsidP="00AB22BD">
      <w:r>
        <w:t>Three DACs use the MEDIN-recommended controlled vocabulary EDMO for Organisation Name. Cefas is carrying out work to enable use of EDMO in its metadata records. For other organisations, the main barriers to using EDMO include:</w:t>
      </w:r>
    </w:p>
    <w:p w14:paraId="5F54EEE8" w14:textId="77777777" w:rsidR="00AB22BD" w:rsidRDefault="00AB22BD" w:rsidP="00AB22BD">
      <w:pPr>
        <w:pStyle w:val="ListParagraph"/>
        <w:numPr>
          <w:ilvl w:val="0"/>
          <w:numId w:val="1"/>
        </w:numPr>
      </w:pPr>
      <w:r>
        <w:t>Requires development work</w:t>
      </w:r>
    </w:p>
    <w:p w14:paraId="585E2D8F" w14:textId="77777777" w:rsidR="00AB22BD" w:rsidRDefault="00AB22BD" w:rsidP="00AB22BD">
      <w:pPr>
        <w:pStyle w:val="ListParagraph"/>
        <w:numPr>
          <w:ilvl w:val="0"/>
          <w:numId w:val="1"/>
        </w:numPr>
      </w:pPr>
      <w:r>
        <w:t>Requires internal vocabulary mappings to EDMO</w:t>
      </w:r>
    </w:p>
    <w:p w14:paraId="30069F11" w14:textId="77777777" w:rsidR="00AB22BD" w:rsidRDefault="00AB22BD" w:rsidP="00AB22BD">
      <w:pPr>
        <w:pStyle w:val="ListParagraph"/>
        <w:numPr>
          <w:ilvl w:val="0"/>
          <w:numId w:val="1"/>
        </w:numPr>
      </w:pPr>
      <w:r>
        <w:t>Requires organisations to be added to EDMO</w:t>
      </w:r>
    </w:p>
    <w:p w14:paraId="09111A08" w14:textId="77777777" w:rsidR="00AB22BD" w:rsidRDefault="00AB22BD" w:rsidP="00AB22BD">
      <w:pPr>
        <w:pStyle w:val="ListParagraph"/>
        <w:numPr>
          <w:ilvl w:val="0"/>
          <w:numId w:val="1"/>
        </w:numPr>
      </w:pPr>
      <w:r>
        <w:t>Lack of resources and not a high priority for DACs</w:t>
      </w:r>
    </w:p>
    <w:p w14:paraId="73DECB6C" w14:textId="77777777" w:rsidR="00FB3C71" w:rsidRPr="00FB3C71" w:rsidRDefault="00FB3C71" w:rsidP="00FB3C71">
      <w:pPr>
        <w:spacing w:after="0" w:line="240" w:lineRule="auto"/>
        <w:textAlignment w:val="baseline"/>
        <w:rPr>
          <w:rFonts w:ascii="Segoe UI" w:eastAsia="Times New Roman" w:hAnsi="Segoe UI" w:cs="Segoe UI"/>
          <w:sz w:val="18"/>
          <w:szCs w:val="18"/>
          <w:lang w:eastAsia="en-GB"/>
        </w:rPr>
      </w:pPr>
    </w:p>
    <w:p w14:paraId="60B7974E" w14:textId="5D3769FC" w:rsidR="00072817" w:rsidRDefault="00072817" w:rsidP="0083074D">
      <w:r>
        <w:rPr>
          <w:noProof/>
          <w:lang w:eastAsia="en-GB"/>
        </w:rPr>
        <w:drawing>
          <wp:inline distT="0" distB="0" distL="0" distR="0" wp14:anchorId="31E9CF6D" wp14:editId="3EA700E0">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116D1C9" w14:textId="60CA91A7" w:rsidR="004A7A11" w:rsidRDefault="00A50C9B" w:rsidP="004A7A11">
      <w:r>
        <w:t>Further detail on the responses from the individual DACs</w:t>
      </w:r>
      <w:r w:rsidR="008B3669">
        <w:t xml:space="preserve"> regarding use of EDMO</w:t>
      </w:r>
      <w:r>
        <w:t xml:space="preserve"> are given in the table below.</w:t>
      </w:r>
    </w:p>
    <w:tbl>
      <w:tblPr>
        <w:tblStyle w:val="TableGrid"/>
        <w:tblW w:w="0" w:type="auto"/>
        <w:tblLook w:val="04A0" w:firstRow="1" w:lastRow="0" w:firstColumn="1" w:lastColumn="0" w:noHBand="0" w:noVBand="1"/>
      </w:tblPr>
      <w:tblGrid>
        <w:gridCol w:w="1129"/>
        <w:gridCol w:w="3686"/>
        <w:gridCol w:w="4201"/>
      </w:tblGrid>
      <w:tr w:rsidR="00A50C9B" w14:paraId="28794DFE" w14:textId="77777777" w:rsidTr="00DA601B">
        <w:tc>
          <w:tcPr>
            <w:tcW w:w="1129" w:type="dxa"/>
          </w:tcPr>
          <w:p w14:paraId="03128468" w14:textId="77777777" w:rsidR="00A50C9B" w:rsidRPr="00A50C9B" w:rsidRDefault="00A50C9B" w:rsidP="00DA601B">
            <w:pPr>
              <w:rPr>
                <w:b/>
              </w:rPr>
            </w:pPr>
            <w:r w:rsidRPr="00A50C9B">
              <w:rPr>
                <w:b/>
              </w:rPr>
              <w:t>DAC</w:t>
            </w:r>
          </w:p>
        </w:tc>
        <w:tc>
          <w:tcPr>
            <w:tcW w:w="3686" w:type="dxa"/>
          </w:tcPr>
          <w:p w14:paraId="786E36E3" w14:textId="77777777" w:rsidR="00A50C9B" w:rsidRPr="00A50C9B" w:rsidRDefault="00A50C9B" w:rsidP="00DA601B">
            <w:pPr>
              <w:rPr>
                <w:b/>
              </w:rPr>
            </w:pPr>
            <w:r w:rsidRPr="00A50C9B">
              <w:rPr>
                <w:b/>
              </w:rPr>
              <w:t>Issue using EDMO</w:t>
            </w:r>
          </w:p>
        </w:tc>
        <w:tc>
          <w:tcPr>
            <w:tcW w:w="4201" w:type="dxa"/>
          </w:tcPr>
          <w:p w14:paraId="373C89A5" w14:textId="7D8D0F51" w:rsidR="00A50C9B" w:rsidRPr="00A50C9B" w:rsidRDefault="004843B4" w:rsidP="00DA601B">
            <w:pPr>
              <w:rPr>
                <w:b/>
              </w:rPr>
            </w:pPr>
            <w:r>
              <w:rPr>
                <w:b/>
              </w:rPr>
              <w:t>Potential</w:t>
            </w:r>
            <w:r w:rsidR="00A50C9B" w:rsidRPr="00A50C9B">
              <w:rPr>
                <w:b/>
              </w:rPr>
              <w:t xml:space="preserve"> solution</w:t>
            </w:r>
          </w:p>
        </w:tc>
      </w:tr>
      <w:tr w:rsidR="00A50C9B" w14:paraId="2842E39C" w14:textId="77777777" w:rsidTr="00DA601B">
        <w:tc>
          <w:tcPr>
            <w:tcW w:w="1129" w:type="dxa"/>
          </w:tcPr>
          <w:p w14:paraId="50B1D4F3" w14:textId="77777777" w:rsidR="00A50C9B" w:rsidRDefault="00A50C9B" w:rsidP="00DA601B">
            <w:r>
              <w:t>MSS</w:t>
            </w:r>
          </w:p>
        </w:tc>
        <w:tc>
          <w:tcPr>
            <w:tcW w:w="3686" w:type="dxa"/>
          </w:tcPr>
          <w:p w14:paraId="514359A6" w14:textId="77777777" w:rsidR="00A50C9B" w:rsidRDefault="00A50C9B" w:rsidP="00DA601B">
            <w:r>
              <w:rPr>
                <w:rStyle w:val="normaltextrun"/>
                <w:rFonts w:ascii="Calibri" w:hAnsi="Calibri"/>
                <w:color w:val="000000"/>
                <w:shd w:val="clear" w:color="auto" w:fill="FFFFFF"/>
              </w:rPr>
              <w:t xml:space="preserve">Marine Scotland’s metadata catalogue needs to be used to enter </w:t>
            </w:r>
            <w:r>
              <w:rPr>
                <w:rStyle w:val="normaltextrun"/>
                <w:rFonts w:ascii="Calibri" w:hAnsi="Calibri"/>
                <w:color w:val="000000"/>
                <w:shd w:val="clear" w:color="auto" w:fill="FFFFFF"/>
              </w:rPr>
              <w:lastRenderedPageBreak/>
              <w:t>authors/submitters and organisations that are not necessarily on EDMO. Thus we have not implemented an EDMO ID tracking.</w:t>
            </w:r>
          </w:p>
        </w:tc>
        <w:tc>
          <w:tcPr>
            <w:tcW w:w="4201" w:type="dxa"/>
          </w:tcPr>
          <w:p w14:paraId="1FD31A4F" w14:textId="77777777" w:rsidR="00A50C9B" w:rsidRDefault="00A50C9B" w:rsidP="00DA601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2"/>
                <w:szCs w:val="22"/>
              </w:rPr>
              <w:lastRenderedPageBreak/>
              <w:t xml:space="preserve">Developer time to modify our catalogue to incorporate EDMO content and then </w:t>
            </w:r>
            <w:r>
              <w:rPr>
                <w:rStyle w:val="normaltextrun"/>
                <w:rFonts w:ascii="Calibri" w:hAnsi="Calibri" w:cs="Segoe UI"/>
                <w:sz w:val="22"/>
                <w:szCs w:val="22"/>
              </w:rPr>
              <w:lastRenderedPageBreak/>
              <w:t>determine and implement business rules for:</w:t>
            </w:r>
            <w:r>
              <w:rPr>
                <w:rStyle w:val="eop"/>
                <w:rFonts w:ascii="Calibri" w:hAnsi="Calibri" w:cs="Segoe UI"/>
                <w:sz w:val="22"/>
                <w:szCs w:val="22"/>
              </w:rPr>
              <w:t> </w:t>
            </w:r>
          </w:p>
          <w:p w14:paraId="00A51CD9" w14:textId="77777777" w:rsidR="00A50C9B" w:rsidRDefault="00A50C9B" w:rsidP="00DA601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2"/>
                <w:szCs w:val="22"/>
              </w:rPr>
              <w:t>1) Only submit metadata that contains at least one EDMO entry, and only submit EDMO entries to MEDIN (other records will not be exportable)</w:t>
            </w:r>
            <w:r>
              <w:rPr>
                <w:rStyle w:val="eop"/>
                <w:rFonts w:ascii="Calibri" w:hAnsi="Calibri" w:cs="Segoe UI"/>
                <w:sz w:val="22"/>
                <w:szCs w:val="22"/>
              </w:rPr>
              <w:t> </w:t>
            </w:r>
          </w:p>
          <w:p w14:paraId="595063A2" w14:textId="77777777" w:rsidR="00A50C9B" w:rsidRDefault="00A50C9B" w:rsidP="00DA601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2"/>
                <w:szCs w:val="22"/>
              </w:rPr>
              <w:t>2) Write importers to routinely take in the EDMO csv file to update list &amp; add new organisations. Develop checks for duplicate entries (e.g. organisation has been added on MS catalogue, and is now also available on EDMO)</w:t>
            </w:r>
            <w:r>
              <w:rPr>
                <w:rStyle w:val="eop"/>
                <w:rFonts w:ascii="Calibri" w:hAnsi="Calibri" w:cs="Segoe UI"/>
                <w:sz w:val="22"/>
                <w:szCs w:val="22"/>
              </w:rPr>
              <w:t> </w:t>
            </w:r>
          </w:p>
          <w:p w14:paraId="7C0B1D88" w14:textId="77777777" w:rsidR="00A50C9B" w:rsidRDefault="00A50C9B" w:rsidP="00DA601B">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14:paraId="5178F459" w14:textId="77777777" w:rsidR="00A50C9B" w:rsidRPr="0072571D" w:rsidRDefault="00A50C9B" w:rsidP="00DA601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b/>
                <w:bCs/>
                <w:sz w:val="22"/>
                <w:szCs w:val="22"/>
              </w:rPr>
              <w:t>This resource is currently not available in Marine Scotland.</w:t>
            </w:r>
            <w:r>
              <w:rPr>
                <w:rStyle w:val="eop"/>
                <w:rFonts w:ascii="Calibri" w:hAnsi="Calibri" w:cs="Segoe UI"/>
                <w:sz w:val="22"/>
                <w:szCs w:val="22"/>
              </w:rPr>
              <w:t> </w:t>
            </w:r>
          </w:p>
        </w:tc>
      </w:tr>
      <w:tr w:rsidR="00A50C9B" w14:paraId="732E88A1" w14:textId="77777777" w:rsidTr="00DA601B">
        <w:tc>
          <w:tcPr>
            <w:tcW w:w="1129" w:type="dxa"/>
          </w:tcPr>
          <w:p w14:paraId="29229304" w14:textId="77777777" w:rsidR="00A50C9B" w:rsidRDefault="00A50C9B" w:rsidP="00DA601B">
            <w:r>
              <w:lastRenderedPageBreak/>
              <w:t>BGS</w:t>
            </w:r>
          </w:p>
        </w:tc>
        <w:tc>
          <w:tcPr>
            <w:tcW w:w="3686" w:type="dxa"/>
          </w:tcPr>
          <w:p w14:paraId="2E6ED4E6" w14:textId="77777777" w:rsidR="00A50C9B" w:rsidRDefault="00A50C9B" w:rsidP="00DA601B">
            <w:r>
              <w:t>Requires resource to look into this and cross-check vocabularies. DAC resources are limited.</w:t>
            </w:r>
          </w:p>
        </w:tc>
        <w:tc>
          <w:tcPr>
            <w:tcW w:w="4201" w:type="dxa"/>
          </w:tcPr>
          <w:p w14:paraId="6CEA4A3A" w14:textId="77777777" w:rsidR="00A50C9B" w:rsidRDefault="00A50C9B" w:rsidP="00DA601B">
            <w:r>
              <w:t>Requires more time and resources.</w:t>
            </w:r>
          </w:p>
        </w:tc>
      </w:tr>
      <w:tr w:rsidR="00A50C9B" w14:paraId="46B6F88B" w14:textId="77777777" w:rsidTr="00DA601B">
        <w:tc>
          <w:tcPr>
            <w:tcW w:w="1129" w:type="dxa"/>
          </w:tcPr>
          <w:p w14:paraId="5B3C888A" w14:textId="77777777" w:rsidR="00A50C9B" w:rsidRDefault="00A50C9B" w:rsidP="00DA601B">
            <w:r>
              <w:t>Cefas</w:t>
            </w:r>
          </w:p>
        </w:tc>
        <w:tc>
          <w:tcPr>
            <w:tcW w:w="3686" w:type="dxa"/>
          </w:tcPr>
          <w:p w14:paraId="3C4F004F" w14:textId="77777777" w:rsidR="00A50C9B" w:rsidRDefault="00A50C9B" w:rsidP="00DA601B">
            <w:r>
              <w:rPr>
                <w:rStyle w:val="normaltextrun"/>
                <w:rFonts w:ascii="Calibri" w:hAnsi="Calibri"/>
                <w:color w:val="000000"/>
                <w:shd w:val="clear" w:color="auto" w:fill="FFFFFF"/>
              </w:rPr>
              <w:t>Legacy issue, working to resolve this to meeting standard.</w:t>
            </w:r>
            <w:r>
              <w:rPr>
                <w:rStyle w:val="eop"/>
                <w:rFonts w:ascii="Calibri" w:hAnsi="Calibri"/>
                <w:color w:val="000000"/>
                <w:shd w:val="clear" w:color="auto" w:fill="FFFFFF"/>
              </w:rPr>
              <w:t> </w:t>
            </w:r>
          </w:p>
        </w:tc>
        <w:tc>
          <w:tcPr>
            <w:tcW w:w="4201" w:type="dxa"/>
          </w:tcPr>
          <w:p w14:paraId="3DCB98F0" w14:textId="77777777" w:rsidR="00A50C9B" w:rsidRDefault="00A50C9B" w:rsidP="00DA601B">
            <w:r>
              <w:rPr>
                <w:rStyle w:val="normaltextrun"/>
                <w:rFonts w:ascii="Calibri" w:hAnsi="Calibri"/>
                <w:color w:val="000000"/>
                <w:bdr w:val="none" w:sz="0" w:space="0" w:color="auto" w:frame="1"/>
              </w:rPr>
              <w:t>Developments of the MDR system, which are in progress in test environment.</w:t>
            </w:r>
          </w:p>
        </w:tc>
      </w:tr>
      <w:tr w:rsidR="00A50C9B" w14:paraId="4D22C827" w14:textId="77777777" w:rsidTr="00DA601B">
        <w:tc>
          <w:tcPr>
            <w:tcW w:w="1129" w:type="dxa"/>
          </w:tcPr>
          <w:p w14:paraId="7469BFAA" w14:textId="77777777" w:rsidR="00A50C9B" w:rsidRDefault="00A50C9B" w:rsidP="00DA601B">
            <w:r>
              <w:t>HES</w:t>
            </w:r>
          </w:p>
        </w:tc>
        <w:tc>
          <w:tcPr>
            <w:tcW w:w="3686" w:type="dxa"/>
          </w:tcPr>
          <w:p w14:paraId="17EACE6D" w14:textId="77777777" w:rsidR="00A50C9B" w:rsidRDefault="00A50C9B" w:rsidP="00DA601B">
            <w:r>
              <w:rPr>
                <w:rStyle w:val="normaltextrun"/>
                <w:rFonts w:ascii="Calibri" w:hAnsi="Calibri"/>
                <w:color w:val="000000"/>
                <w:shd w:val="clear" w:color="auto" w:fill="FFFFFF"/>
              </w:rPr>
              <w:t>No controlled vocabulary in place </w:t>
            </w:r>
            <w:r>
              <w:rPr>
                <w:rStyle w:val="normaltextrun"/>
                <w:rFonts w:ascii="Calibri" w:hAnsi="Calibri"/>
                <w:color w:val="000000"/>
                <w:shd w:val="clear" w:color="auto" w:fill="FFE5E5"/>
              </w:rPr>
              <w:t>for</w:t>
            </w:r>
            <w:r>
              <w:rPr>
                <w:rStyle w:val="normaltextrun"/>
                <w:rFonts w:ascii="Calibri" w:hAnsi="Calibri"/>
                <w:color w:val="000000"/>
                <w:shd w:val="clear" w:color="auto" w:fill="FFFFFF"/>
              </w:rPr>
              <w:t> Organisation name, but every Organisation in Oracle database has a unique identifier</w:t>
            </w:r>
            <w:r>
              <w:rPr>
                <w:rStyle w:val="eop"/>
                <w:rFonts w:ascii="Calibri" w:hAnsi="Calibri"/>
                <w:color w:val="000000"/>
                <w:shd w:val="clear" w:color="auto" w:fill="FFFFFF"/>
              </w:rPr>
              <w:t> </w:t>
            </w:r>
          </w:p>
        </w:tc>
        <w:tc>
          <w:tcPr>
            <w:tcW w:w="4201" w:type="dxa"/>
          </w:tcPr>
          <w:p w14:paraId="25FDF435" w14:textId="77777777" w:rsidR="00A50C9B" w:rsidRDefault="00A50C9B" w:rsidP="00DA601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2"/>
                <w:szCs w:val="22"/>
              </w:rPr>
              <w:t>EDMO List not fully populated with archaeological organisations (e.g. </w:t>
            </w:r>
            <w:hyperlink r:id="rId9" w:tgtFrame="_blank" w:history="1">
              <w:r>
                <w:rPr>
                  <w:rStyle w:val="normaltextrun"/>
                  <w:rFonts w:ascii="Calibri" w:hAnsi="Calibri" w:cs="Segoe UI"/>
                  <w:color w:val="0000FF"/>
                  <w:sz w:val="22"/>
                  <w:szCs w:val="22"/>
                  <w:u w:val="single"/>
                </w:rPr>
                <w:t>Marine Archaeology Services - ORCA (orca-archaeology.org)</w:t>
              </w:r>
            </w:hyperlink>
            <w:r>
              <w:rPr>
                <w:rStyle w:val="normaltextrun"/>
                <w:rFonts w:ascii="Calibri" w:hAnsi="Calibri" w:cs="Segoe UI"/>
                <w:sz w:val="22"/>
                <w:szCs w:val="22"/>
              </w:rPr>
              <w:t>. Would not handle EDMO Organisation value in internal system.</w:t>
            </w:r>
            <w:r>
              <w:rPr>
                <w:rStyle w:val="eop"/>
                <w:rFonts w:ascii="Calibri" w:eastAsiaTheme="majorEastAsia" w:hAnsi="Calibri" w:cs="Segoe UI"/>
                <w:sz w:val="22"/>
                <w:szCs w:val="22"/>
              </w:rPr>
              <w:t> </w:t>
            </w:r>
          </w:p>
          <w:p w14:paraId="1A8E491B" w14:textId="77777777" w:rsidR="00A50C9B" w:rsidRDefault="00A50C9B" w:rsidP="00DA601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color w:val="FF0000"/>
                <w:sz w:val="22"/>
                <w:szCs w:val="22"/>
              </w:rPr>
              <w:t>Action - Production change request: </w:t>
            </w:r>
            <w:r>
              <w:rPr>
                <w:rStyle w:val="normaltextrun"/>
                <w:rFonts w:ascii="Calibri" w:hAnsi="Calibri" w:cs="Segoe UI"/>
                <w:sz w:val="22"/>
                <w:szCs w:val="22"/>
              </w:rPr>
              <w:t>Add related links table to internal ORGANISATION and PEOPLE tables</w:t>
            </w:r>
            <w:r>
              <w:rPr>
                <w:rStyle w:val="eop"/>
                <w:rFonts w:ascii="Calibri" w:eastAsiaTheme="majorEastAsia" w:hAnsi="Calibri" w:cs="Segoe UI"/>
                <w:sz w:val="22"/>
                <w:szCs w:val="22"/>
              </w:rPr>
              <w:t> </w:t>
            </w:r>
          </w:p>
          <w:p w14:paraId="5F975EF5" w14:textId="77777777" w:rsidR="00A50C9B" w:rsidRPr="0072571D" w:rsidRDefault="00A50C9B" w:rsidP="00DA601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color w:val="FF0000"/>
                <w:sz w:val="22"/>
                <w:szCs w:val="22"/>
              </w:rPr>
              <w:t>Action: </w:t>
            </w:r>
            <w:r>
              <w:rPr>
                <w:rStyle w:val="normaltextrun"/>
                <w:rFonts w:ascii="Calibri" w:hAnsi="Calibri" w:cs="Segoe UI"/>
                <w:sz w:val="22"/>
                <w:szCs w:val="22"/>
              </w:rPr>
              <w:t>review EDMO list for omissions and discuss how to add</w:t>
            </w:r>
          </w:p>
        </w:tc>
      </w:tr>
      <w:tr w:rsidR="00A50C9B" w14:paraId="37DC3A5D" w14:textId="77777777" w:rsidTr="00DA601B">
        <w:tc>
          <w:tcPr>
            <w:tcW w:w="1129" w:type="dxa"/>
          </w:tcPr>
          <w:p w14:paraId="4A655044" w14:textId="77777777" w:rsidR="00A50C9B" w:rsidRDefault="00A50C9B" w:rsidP="00DA601B">
            <w:r>
              <w:t>ADS</w:t>
            </w:r>
          </w:p>
        </w:tc>
        <w:tc>
          <w:tcPr>
            <w:tcW w:w="3686" w:type="dxa"/>
          </w:tcPr>
          <w:p w14:paraId="2BC52136" w14:textId="77777777" w:rsidR="00A50C9B" w:rsidRDefault="00A50C9B" w:rsidP="00DA601B">
            <w:r>
              <w:rPr>
                <w:rStyle w:val="normaltextrun"/>
                <w:rFonts w:ascii="Calibri" w:hAnsi="Calibri"/>
                <w:color w:val="000000"/>
                <w:shd w:val="clear" w:color="auto" w:fill="FFFFFF"/>
              </w:rPr>
              <w:t>We’ve historically used DC, and latterly DataCite terms to define creator, contributor etc so never see the need.</w:t>
            </w:r>
          </w:p>
        </w:tc>
        <w:tc>
          <w:tcPr>
            <w:tcW w:w="4201" w:type="dxa"/>
          </w:tcPr>
          <w:p w14:paraId="4497ECA8" w14:textId="77777777" w:rsidR="00A50C9B" w:rsidRDefault="00A50C9B" w:rsidP="00DA601B">
            <w:r>
              <w:rPr>
                <w:rStyle w:val="normaltextrun"/>
                <w:rFonts w:ascii="Calibri" w:hAnsi="Calibri"/>
                <w:color w:val="000000"/>
                <w:shd w:val="clear" w:color="auto" w:fill="FFFFFF"/>
              </w:rPr>
              <w:t>We would need to do a mapping from our terms to EDMO, so that it appears in the MEDIN metadata export.</w:t>
            </w:r>
          </w:p>
          <w:p w14:paraId="135ED348" w14:textId="77777777" w:rsidR="00A50C9B" w:rsidRPr="0072571D" w:rsidRDefault="00A50C9B" w:rsidP="00DA601B"/>
        </w:tc>
      </w:tr>
      <w:tr w:rsidR="00A50C9B" w14:paraId="653F5DF6" w14:textId="77777777" w:rsidTr="00DA601B">
        <w:tc>
          <w:tcPr>
            <w:tcW w:w="1129" w:type="dxa"/>
          </w:tcPr>
          <w:p w14:paraId="16B7C706" w14:textId="77777777" w:rsidR="00A50C9B" w:rsidRDefault="00A50C9B" w:rsidP="00DA601B">
            <w:r>
              <w:t>UKHO</w:t>
            </w:r>
          </w:p>
        </w:tc>
        <w:tc>
          <w:tcPr>
            <w:tcW w:w="3686" w:type="dxa"/>
          </w:tcPr>
          <w:p w14:paraId="235ADE5D" w14:textId="77777777" w:rsidR="00A50C9B" w:rsidRDefault="00A50C9B" w:rsidP="00DA601B">
            <w:pPr>
              <w:rPr>
                <w:rStyle w:val="normaltextrun"/>
                <w:rFonts w:ascii="Calibri" w:hAnsi="Calibri"/>
                <w:color w:val="000000"/>
                <w:shd w:val="clear" w:color="auto" w:fill="FFFFFF"/>
              </w:rPr>
            </w:pPr>
            <w:r>
              <w:rPr>
                <w:rStyle w:val="normaltextrun"/>
                <w:rFonts w:ascii="Calibri" w:hAnsi="Calibri"/>
                <w:color w:val="000000"/>
                <w:shd w:val="clear" w:color="auto" w:fill="FFFFFF"/>
              </w:rPr>
              <w:t>We believe we use our internal list of organisations.</w:t>
            </w:r>
          </w:p>
        </w:tc>
        <w:tc>
          <w:tcPr>
            <w:tcW w:w="4201" w:type="dxa"/>
          </w:tcPr>
          <w:p w14:paraId="70115D90" w14:textId="77777777" w:rsidR="00A50C9B" w:rsidRDefault="00A50C9B" w:rsidP="00DA601B">
            <w:pPr>
              <w:rPr>
                <w:rStyle w:val="normaltextrun"/>
                <w:rFonts w:ascii="Calibri" w:hAnsi="Calibri"/>
                <w:color w:val="000000"/>
                <w:shd w:val="clear" w:color="auto" w:fill="FFFFFF"/>
              </w:rPr>
            </w:pPr>
          </w:p>
        </w:tc>
      </w:tr>
    </w:tbl>
    <w:p w14:paraId="2ADD33A1" w14:textId="77777777" w:rsidR="00A50C9B" w:rsidRDefault="00A50C9B" w:rsidP="004A7A11"/>
    <w:p w14:paraId="29AAAB78" w14:textId="2A71BEEF" w:rsidR="00072817" w:rsidRPr="00A50C9B" w:rsidRDefault="004A7A11" w:rsidP="00A50C9B">
      <w:pPr>
        <w:pStyle w:val="ListParagraph"/>
        <w:numPr>
          <w:ilvl w:val="0"/>
          <w:numId w:val="2"/>
        </w:numPr>
        <w:rPr>
          <w:b/>
          <w:u w:val="single"/>
        </w:rPr>
      </w:pPr>
      <w:r w:rsidRPr="00A50C9B">
        <w:rPr>
          <w:b/>
          <w:u w:val="single"/>
        </w:rPr>
        <w:t>Responsible Party Role</w:t>
      </w:r>
    </w:p>
    <w:p w14:paraId="0C06CA56" w14:textId="4C185223" w:rsidR="00AB22BD" w:rsidRDefault="47C5AB7A" w:rsidP="0083074D">
      <w:r>
        <w:t xml:space="preserve">Five </w:t>
      </w:r>
      <w:r w:rsidR="00AB22BD">
        <w:t>DACs use the MEDIN-recommended controlled vocabulary for Responsible Party Role. Note that Cefas</w:t>
      </w:r>
      <w:r w:rsidR="05D151DE">
        <w:t xml:space="preserve"> and DASSH are </w:t>
      </w:r>
      <w:r w:rsidR="58635F42">
        <w:t>planning to adopt this going forward</w:t>
      </w:r>
      <w:r w:rsidR="00AB22BD">
        <w:t>.</w:t>
      </w:r>
      <w:r w:rsidR="00A50C9B">
        <w:t xml:space="preserve"> </w:t>
      </w:r>
      <w:r w:rsidR="00AB22BD">
        <w:t>ADS uses DataCite vocabularies and would need to carry out a mapping between vocabularies.</w:t>
      </w:r>
      <w:r w:rsidR="00A50C9B">
        <w:t xml:space="preserve"> </w:t>
      </w:r>
      <w:r w:rsidR="00AB22BD">
        <w:t>HES</w:t>
      </w:r>
      <w:r w:rsidR="009B1437">
        <w:t xml:space="preserve"> uses free text currently and would need to create additional fields in its Oracle tables and discuss how to implement the ISO code list.</w:t>
      </w:r>
    </w:p>
    <w:p w14:paraId="4DA9FCBC" w14:textId="620E4787" w:rsidR="00072817" w:rsidRDefault="49D150A0" w:rsidP="0083074D">
      <w:r>
        <w:rPr>
          <w:noProof/>
          <w:lang w:eastAsia="en-GB"/>
        </w:rPr>
        <w:lastRenderedPageBreak/>
        <w:drawing>
          <wp:inline distT="0" distB="0" distL="0" distR="0" wp14:anchorId="6CC66ACC" wp14:editId="264AA8D5">
            <wp:extent cx="4572000" cy="2743200"/>
            <wp:effectExtent l="0" t="0" r="0" b="0"/>
            <wp:docPr id="1963456849" name="Picture 1963456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4572000" cy="2743200"/>
                    </a:xfrm>
                    <a:prstGeom prst="rect">
                      <a:avLst/>
                    </a:prstGeom>
                  </pic:spPr>
                </pic:pic>
              </a:graphicData>
            </a:graphic>
          </wp:inline>
        </w:drawing>
      </w:r>
    </w:p>
    <w:p w14:paraId="066D5EFF" w14:textId="50924920" w:rsidR="00072817" w:rsidRDefault="00072817" w:rsidP="5437FB8D"/>
    <w:p w14:paraId="0D928DB2" w14:textId="36E8ADB6" w:rsidR="00A50C9B" w:rsidRDefault="00A50C9B" w:rsidP="0083074D">
      <w:r>
        <w:t xml:space="preserve">Further detail on the responses from the individual DACs </w:t>
      </w:r>
      <w:r w:rsidR="008B3669">
        <w:t xml:space="preserve">regarding use of the MEDIN-recommended vocabulary for Responsible Party Role </w:t>
      </w:r>
      <w:r>
        <w:t>are given in the table below.</w:t>
      </w:r>
    </w:p>
    <w:tbl>
      <w:tblPr>
        <w:tblStyle w:val="TableGrid"/>
        <w:tblW w:w="0" w:type="auto"/>
        <w:tblLayout w:type="fixed"/>
        <w:tblLook w:val="04A0" w:firstRow="1" w:lastRow="0" w:firstColumn="1" w:lastColumn="0" w:noHBand="0" w:noVBand="1"/>
      </w:tblPr>
      <w:tblGrid>
        <w:gridCol w:w="988"/>
        <w:gridCol w:w="3685"/>
        <w:gridCol w:w="4343"/>
      </w:tblGrid>
      <w:tr w:rsidR="00A50C9B" w14:paraId="60A93D15" w14:textId="77777777" w:rsidTr="5437FB8D">
        <w:tc>
          <w:tcPr>
            <w:tcW w:w="988" w:type="dxa"/>
          </w:tcPr>
          <w:p w14:paraId="1D1900B7" w14:textId="77777777" w:rsidR="00A50C9B" w:rsidRPr="00A50C9B" w:rsidRDefault="00A50C9B" w:rsidP="00DA601B">
            <w:pPr>
              <w:rPr>
                <w:b/>
              </w:rPr>
            </w:pPr>
            <w:r w:rsidRPr="00A50C9B">
              <w:rPr>
                <w:b/>
              </w:rPr>
              <w:t>DAC</w:t>
            </w:r>
          </w:p>
        </w:tc>
        <w:tc>
          <w:tcPr>
            <w:tcW w:w="3685" w:type="dxa"/>
          </w:tcPr>
          <w:p w14:paraId="633D22CD" w14:textId="566C7C30" w:rsidR="00A50C9B" w:rsidRPr="00A50C9B" w:rsidRDefault="00A50C9B" w:rsidP="00A50C9B">
            <w:pPr>
              <w:rPr>
                <w:b/>
              </w:rPr>
            </w:pPr>
            <w:r w:rsidRPr="00A50C9B">
              <w:rPr>
                <w:b/>
              </w:rPr>
              <w:t>Issue using</w:t>
            </w:r>
            <w:r>
              <w:rPr>
                <w:b/>
              </w:rPr>
              <w:t xml:space="preserve"> MEDIN Vocabulary for Responsible Party Role</w:t>
            </w:r>
          </w:p>
        </w:tc>
        <w:tc>
          <w:tcPr>
            <w:tcW w:w="4343" w:type="dxa"/>
          </w:tcPr>
          <w:p w14:paraId="3B6D06C3" w14:textId="40C01661" w:rsidR="00A50C9B" w:rsidRPr="00A50C9B" w:rsidRDefault="004843B4" w:rsidP="00DA601B">
            <w:pPr>
              <w:rPr>
                <w:b/>
              </w:rPr>
            </w:pPr>
            <w:r>
              <w:rPr>
                <w:b/>
              </w:rPr>
              <w:t xml:space="preserve">Potential </w:t>
            </w:r>
            <w:r w:rsidR="00A50C9B" w:rsidRPr="00A50C9B">
              <w:rPr>
                <w:b/>
              </w:rPr>
              <w:t>Solution</w:t>
            </w:r>
          </w:p>
        </w:tc>
      </w:tr>
      <w:tr w:rsidR="00A50C9B" w14:paraId="221FBD0B" w14:textId="77777777" w:rsidTr="5437FB8D">
        <w:tc>
          <w:tcPr>
            <w:tcW w:w="988" w:type="dxa"/>
          </w:tcPr>
          <w:p w14:paraId="57992B17" w14:textId="77777777" w:rsidR="00A50C9B" w:rsidRDefault="00A50C9B" w:rsidP="00DA601B">
            <w:r>
              <w:t>ADS</w:t>
            </w:r>
          </w:p>
        </w:tc>
        <w:tc>
          <w:tcPr>
            <w:tcW w:w="3685" w:type="dxa"/>
          </w:tcPr>
          <w:p w14:paraId="2A16F0BE" w14:textId="77777777" w:rsidR="00A50C9B" w:rsidRDefault="00A50C9B" w:rsidP="00DA601B">
            <w:r>
              <w:rPr>
                <w:rStyle w:val="normaltextrun"/>
                <w:rFonts w:ascii="Calibri" w:hAnsi="Calibri"/>
                <w:color w:val="000000"/>
                <w:bdr w:val="none" w:sz="0" w:space="0" w:color="auto" w:frame="1"/>
              </w:rPr>
              <w:t>We’ve historically used DC, and latterly DataCite terms to define creator, contributor etc so never see the need.</w:t>
            </w:r>
          </w:p>
        </w:tc>
        <w:tc>
          <w:tcPr>
            <w:tcW w:w="4343" w:type="dxa"/>
          </w:tcPr>
          <w:p w14:paraId="4D1E6544" w14:textId="77777777" w:rsidR="00A50C9B" w:rsidRDefault="00A50C9B" w:rsidP="00DA601B">
            <w:r>
              <w:rPr>
                <w:rStyle w:val="normaltextrun"/>
                <w:rFonts w:ascii="Calibri" w:hAnsi="Calibri"/>
                <w:color w:val="000000"/>
                <w:shd w:val="clear" w:color="auto" w:fill="FFFFFF"/>
              </w:rPr>
              <w:t>We would need to do a mapping from our terms to the ISO list, so that it appears in the MEDIN metadata export.</w:t>
            </w:r>
            <w:r>
              <w:rPr>
                <w:rStyle w:val="eop"/>
                <w:rFonts w:ascii="Calibri" w:hAnsi="Calibri"/>
                <w:color w:val="000000"/>
                <w:shd w:val="clear" w:color="auto" w:fill="FFFFFF"/>
              </w:rPr>
              <w:t> </w:t>
            </w:r>
          </w:p>
        </w:tc>
      </w:tr>
      <w:tr w:rsidR="00A50C9B" w14:paraId="19D1F2CD" w14:textId="77777777" w:rsidTr="5437FB8D">
        <w:tc>
          <w:tcPr>
            <w:tcW w:w="988" w:type="dxa"/>
          </w:tcPr>
          <w:p w14:paraId="36A41295" w14:textId="77777777" w:rsidR="00A50C9B" w:rsidRDefault="00A50C9B" w:rsidP="00DA601B">
            <w:r>
              <w:t>HES</w:t>
            </w:r>
          </w:p>
        </w:tc>
        <w:tc>
          <w:tcPr>
            <w:tcW w:w="3685" w:type="dxa"/>
          </w:tcPr>
          <w:p w14:paraId="4F69B1D3" w14:textId="77777777" w:rsidR="00A50C9B" w:rsidRDefault="00A50C9B" w:rsidP="00DA601B">
            <w:r>
              <w:rPr>
                <w:rStyle w:val="normaltextrun"/>
                <w:rFonts w:ascii="Calibri" w:hAnsi="Calibri"/>
                <w:color w:val="000000"/>
                <w:shd w:val="clear" w:color="auto" w:fill="FFFFFF"/>
              </w:rPr>
              <w:t>No controlled vocabulary in place for Responsible Party Role.</w:t>
            </w:r>
          </w:p>
        </w:tc>
        <w:tc>
          <w:tcPr>
            <w:tcW w:w="4343" w:type="dxa"/>
          </w:tcPr>
          <w:p w14:paraId="24D7C15F" w14:textId="77777777" w:rsidR="00A50C9B" w:rsidRPr="00AB22BD" w:rsidRDefault="00A50C9B" w:rsidP="00DA601B">
            <w:pPr>
              <w:textAlignment w:val="baseline"/>
              <w:rPr>
                <w:rFonts w:ascii="Segoe UI" w:eastAsia="Times New Roman" w:hAnsi="Segoe UI" w:cs="Segoe UI"/>
                <w:sz w:val="18"/>
                <w:szCs w:val="18"/>
                <w:lang w:eastAsia="en-GB"/>
              </w:rPr>
            </w:pPr>
            <w:r w:rsidRPr="00AB22BD">
              <w:rPr>
                <w:rFonts w:ascii="Calibri" w:eastAsia="Times New Roman" w:hAnsi="Calibri" w:cs="Segoe UI"/>
                <w:lang w:eastAsia="en-GB"/>
              </w:rPr>
              <w:t> Would require examples of terminology used and how this is implemented to understand how it could be applied in our systems.  </w:t>
            </w:r>
          </w:p>
          <w:p w14:paraId="04222B90" w14:textId="77777777" w:rsidR="00A50C9B" w:rsidRPr="00AB22BD" w:rsidRDefault="00A50C9B" w:rsidP="00DA601B">
            <w:pPr>
              <w:textAlignment w:val="baseline"/>
              <w:rPr>
                <w:rFonts w:ascii="Segoe UI" w:eastAsia="Times New Roman" w:hAnsi="Segoe UI" w:cs="Segoe UI"/>
                <w:sz w:val="18"/>
                <w:szCs w:val="18"/>
                <w:lang w:eastAsia="en-GB"/>
              </w:rPr>
            </w:pPr>
            <w:r w:rsidRPr="00AB22BD">
              <w:rPr>
                <w:rFonts w:ascii="Calibri" w:eastAsia="Times New Roman" w:hAnsi="Calibri" w:cs="Segoe UI"/>
                <w:lang w:eastAsia="en-GB"/>
              </w:rPr>
              <w:t>We do record ‘Role’ as a free text field against PEOPLE/ORGANISATION  associated with a COLLECTION record and against the EVENT (activity) record.  </w:t>
            </w:r>
          </w:p>
          <w:p w14:paraId="2DEDE2D2" w14:textId="77777777" w:rsidR="00A50C9B" w:rsidRPr="00AB22BD" w:rsidRDefault="00A50C9B" w:rsidP="00DA601B">
            <w:pPr>
              <w:textAlignment w:val="baseline"/>
              <w:rPr>
                <w:rFonts w:ascii="Segoe UI" w:eastAsia="Times New Roman" w:hAnsi="Segoe UI" w:cs="Segoe UI"/>
                <w:sz w:val="18"/>
                <w:szCs w:val="18"/>
                <w:lang w:eastAsia="en-GB"/>
              </w:rPr>
            </w:pPr>
            <w:r w:rsidRPr="00AB22BD">
              <w:rPr>
                <w:rFonts w:ascii="Calibri" w:eastAsia="Times New Roman" w:hAnsi="Calibri" w:cs="Segoe UI"/>
                <w:color w:val="FF0000"/>
                <w:lang w:eastAsia="en-GB"/>
              </w:rPr>
              <w:t>Action: - Production change request: </w:t>
            </w:r>
            <w:r w:rsidRPr="00AB22BD">
              <w:rPr>
                <w:rFonts w:ascii="Calibri" w:eastAsia="Times New Roman" w:hAnsi="Calibri" w:cs="Segoe UI"/>
                <w:lang w:eastAsia="en-GB"/>
              </w:rPr>
              <w:t>Add related links table to PEOPLE / ORGANISATION tables </w:t>
            </w:r>
          </w:p>
          <w:p w14:paraId="1A234BE9" w14:textId="77777777" w:rsidR="00A50C9B" w:rsidRPr="00AB22BD" w:rsidRDefault="00A50C9B" w:rsidP="00DA601B">
            <w:pPr>
              <w:textAlignment w:val="baseline"/>
              <w:rPr>
                <w:rFonts w:ascii="Segoe UI" w:eastAsia="Times New Roman" w:hAnsi="Segoe UI" w:cs="Segoe UI"/>
                <w:sz w:val="18"/>
                <w:szCs w:val="18"/>
                <w:lang w:eastAsia="en-GB"/>
              </w:rPr>
            </w:pPr>
            <w:r w:rsidRPr="00AB22BD">
              <w:rPr>
                <w:rFonts w:ascii="Calibri" w:eastAsia="Times New Roman" w:hAnsi="Calibri" w:cs="Segoe UI"/>
                <w:color w:val="FF0000"/>
                <w:lang w:eastAsia="en-GB"/>
              </w:rPr>
              <w:t>Action: </w:t>
            </w:r>
            <w:r w:rsidRPr="00AB22BD">
              <w:rPr>
                <w:rFonts w:ascii="Calibri" w:eastAsia="Times New Roman" w:hAnsi="Calibri" w:cs="Segoe UI"/>
                <w:lang w:eastAsia="en-GB"/>
              </w:rPr>
              <w:t>review ISO Responsible party code list for omissions and discuss how to add</w:t>
            </w:r>
          </w:p>
          <w:p w14:paraId="5723F745" w14:textId="77777777" w:rsidR="00A50C9B" w:rsidRDefault="00A50C9B" w:rsidP="00DA601B"/>
        </w:tc>
      </w:tr>
      <w:tr w:rsidR="00A50C9B" w14:paraId="09A5C0B3" w14:textId="77777777" w:rsidTr="5437FB8D">
        <w:tc>
          <w:tcPr>
            <w:tcW w:w="988" w:type="dxa"/>
          </w:tcPr>
          <w:p w14:paraId="265C690F" w14:textId="77777777" w:rsidR="00A50C9B" w:rsidRDefault="00A50C9B" w:rsidP="00DA601B">
            <w:r>
              <w:t>Cefas</w:t>
            </w:r>
          </w:p>
        </w:tc>
        <w:tc>
          <w:tcPr>
            <w:tcW w:w="3685" w:type="dxa"/>
          </w:tcPr>
          <w:p w14:paraId="42371BF9" w14:textId="77777777" w:rsidR="00A50C9B" w:rsidRPr="00AB22BD" w:rsidRDefault="00A50C9B" w:rsidP="00DA601B">
            <w:pPr>
              <w:textAlignment w:val="baseline"/>
              <w:rPr>
                <w:rFonts w:ascii="Segoe UI" w:eastAsia="Times New Roman" w:hAnsi="Segoe UI" w:cs="Segoe UI"/>
                <w:sz w:val="18"/>
                <w:szCs w:val="18"/>
                <w:lang w:eastAsia="en-GB"/>
              </w:rPr>
            </w:pPr>
            <w:r w:rsidRPr="00AB22BD">
              <w:rPr>
                <w:rFonts w:ascii="Calibri" w:eastAsia="Times New Roman" w:hAnsi="Calibri" w:cs="Segoe UI"/>
                <w:lang w:eastAsia="en-GB"/>
              </w:rPr>
              <w:t>Unsure because the guidance states that ‘</w:t>
            </w:r>
            <w:r w:rsidRPr="00AB22BD">
              <w:rPr>
                <w:rFonts w:ascii="Calibri" w:eastAsia="Times New Roman" w:hAnsi="Calibri" w:cs="Segoe UI"/>
                <w:b/>
                <w:bCs/>
                <w:sz w:val="23"/>
                <w:szCs w:val="23"/>
                <w:lang w:eastAsia="en-GB"/>
              </w:rPr>
              <w:t>(Metadata Point of Contact–this is encoded as </w:t>
            </w:r>
            <w:r w:rsidRPr="00AB22BD">
              <w:rPr>
                <w:rFonts w:ascii="Calibri" w:eastAsia="Times New Roman" w:hAnsi="Calibri" w:cs="Segoe UI"/>
                <w:b/>
                <w:bCs/>
                <w:sz w:val="23"/>
                <w:szCs w:val="23"/>
                <w:shd w:val="clear" w:color="auto" w:fill="FFFF00"/>
                <w:lang w:eastAsia="en-GB"/>
              </w:rPr>
              <w:t>MD_Metadata/gmd:contact</w:t>
            </w:r>
            <w:r w:rsidRPr="00AB22BD">
              <w:rPr>
                <w:rFonts w:ascii="Calibri" w:eastAsia="Times New Roman" w:hAnsi="Calibri" w:cs="Segoe UI"/>
                <w:b/>
                <w:bCs/>
                <w:sz w:val="23"/>
                <w:szCs w:val="23"/>
                <w:lang w:eastAsia="en-GB"/>
              </w:rPr>
              <w:t> unlike all other Responsible Party roles which are encoded as gmd:</w:t>
            </w:r>
            <w:r w:rsidRPr="00AB22BD">
              <w:rPr>
                <w:rFonts w:ascii="Calibri" w:eastAsia="Times New Roman" w:hAnsi="Calibri" w:cs="Segoe UI"/>
                <w:b/>
                <w:bCs/>
                <w:sz w:val="23"/>
                <w:szCs w:val="23"/>
                <w:shd w:val="clear" w:color="auto" w:fill="FFFF00"/>
                <w:lang w:eastAsia="en-GB"/>
              </w:rPr>
              <w:t>pointofContact</w:t>
            </w:r>
            <w:r w:rsidRPr="00AB22BD">
              <w:rPr>
                <w:rFonts w:ascii="Calibri" w:eastAsia="Times New Roman" w:hAnsi="Calibri" w:cs="Segoe UI"/>
                <w:b/>
                <w:bCs/>
                <w:sz w:val="23"/>
                <w:szCs w:val="23"/>
                <w:lang w:eastAsia="en-GB"/>
              </w:rPr>
              <w:t> within identificationInfo):’</w:t>
            </w:r>
            <w:r w:rsidRPr="00AB22BD">
              <w:rPr>
                <w:rFonts w:ascii="Calibri" w:eastAsia="Times New Roman" w:hAnsi="Calibri" w:cs="Segoe UI"/>
                <w:sz w:val="23"/>
                <w:szCs w:val="23"/>
                <w:lang w:eastAsia="en-GB"/>
              </w:rPr>
              <w:t> </w:t>
            </w:r>
          </w:p>
          <w:p w14:paraId="5738E9C9" w14:textId="77777777" w:rsidR="00A50C9B" w:rsidRPr="00AB22BD" w:rsidRDefault="00A50C9B" w:rsidP="00DA601B">
            <w:pPr>
              <w:textAlignment w:val="baseline"/>
              <w:rPr>
                <w:rFonts w:ascii="Segoe UI" w:eastAsia="Times New Roman" w:hAnsi="Segoe UI" w:cs="Segoe UI"/>
                <w:sz w:val="18"/>
                <w:szCs w:val="18"/>
                <w:lang w:eastAsia="en-GB"/>
              </w:rPr>
            </w:pPr>
            <w:r w:rsidRPr="00AB22BD">
              <w:rPr>
                <w:rFonts w:ascii="Calibri" w:eastAsia="Times New Roman" w:hAnsi="Calibri" w:cs="Segoe UI"/>
                <w:sz w:val="23"/>
                <w:szCs w:val="23"/>
                <w:lang w:eastAsia="en-GB"/>
              </w:rPr>
              <w:t> </w:t>
            </w:r>
          </w:p>
          <w:p w14:paraId="3D6DA50D" w14:textId="77777777" w:rsidR="00A50C9B" w:rsidRPr="00AB22BD" w:rsidRDefault="00A50C9B" w:rsidP="00DA601B">
            <w:pPr>
              <w:textAlignment w:val="baseline"/>
              <w:rPr>
                <w:rFonts w:ascii="Segoe UI" w:eastAsia="Times New Roman" w:hAnsi="Segoe UI" w:cs="Segoe UI"/>
                <w:sz w:val="18"/>
                <w:szCs w:val="18"/>
                <w:lang w:eastAsia="en-GB"/>
              </w:rPr>
            </w:pPr>
            <w:r>
              <w:rPr>
                <w:rFonts w:ascii="Calibri" w:eastAsia="Times New Roman" w:hAnsi="Calibri" w:cs="Segoe UI"/>
                <w:lang w:eastAsia="en-GB"/>
              </w:rPr>
              <w:t xml:space="preserve">Difficulty understanding </w:t>
            </w:r>
            <w:r w:rsidRPr="00AB22BD">
              <w:rPr>
                <w:rFonts w:ascii="Calibri" w:eastAsia="Times New Roman" w:hAnsi="Calibri" w:cs="Segoe UI"/>
                <w:lang w:eastAsia="en-GB"/>
              </w:rPr>
              <w:t xml:space="preserve">XMLs so unsure as to whether our outputs </w:t>
            </w:r>
            <w:r w:rsidRPr="00AB22BD">
              <w:rPr>
                <w:rFonts w:ascii="Calibri" w:eastAsia="Times New Roman" w:hAnsi="Calibri" w:cs="Segoe UI"/>
                <w:lang w:eastAsia="en-GB"/>
              </w:rPr>
              <w:lastRenderedPageBreak/>
              <w:t>for Metadata Point of Contact a</w:t>
            </w:r>
            <w:r>
              <w:rPr>
                <w:rFonts w:ascii="Calibri" w:eastAsia="Times New Roman" w:hAnsi="Calibri" w:cs="Segoe UI"/>
                <w:lang w:eastAsia="en-GB"/>
              </w:rPr>
              <w:t>re able to use the ISO codelist.</w:t>
            </w:r>
            <w:r w:rsidRPr="00AB22BD">
              <w:rPr>
                <w:rFonts w:ascii="Calibri" w:eastAsia="Times New Roman" w:hAnsi="Calibri" w:cs="Segoe UI"/>
                <w:lang w:eastAsia="en-GB"/>
              </w:rPr>
              <w:t> </w:t>
            </w:r>
          </w:p>
          <w:p w14:paraId="3261C62E" w14:textId="77777777" w:rsidR="00A50C9B" w:rsidRPr="00AB22BD" w:rsidRDefault="00A50C9B" w:rsidP="00DA601B">
            <w:pPr>
              <w:textAlignment w:val="baseline"/>
              <w:rPr>
                <w:rFonts w:ascii="Segoe UI" w:eastAsia="Times New Roman" w:hAnsi="Segoe UI" w:cs="Segoe UI"/>
                <w:sz w:val="18"/>
                <w:szCs w:val="18"/>
                <w:lang w:eastAsia="en-GB"/>
              </w:rPr>
            </w:pPr>
          </w:p>
          <w:p w14:paraId="6BFCA01C" w14:textId="77777777" w:rsidR="00A50C9B" w:rsidRPr="00AB22BD" w:rsidRDefault="00A50C9B" w:rsidP="00DA601B">
            <w:pPr>
              <w:textAlignment w:val="baseline"/>
              <w:rPr>
                <w:rFonts w:ascii="Segoe UI" w:eastAsia="Times New Roman" w:hAnsi="Segoe UI" w:cs="Segoe UI"/>
                <w:sz w:val="18"/>
                <w:szCs w:val="18"/>
                <w:lang w:eastAsia="en-GB"/>
              </w:rPr>
            </w:pPr>
            <w:r w:rsidRPr="00AB22BD">
              <w:rPr>
                <w:rFonts w:ascii="Calibri" w:eastAsia="Times New Roman" w:hAnsi="Calibri" w:cs="Segoe UI"/>
                <w:lang w:eastAsia="en-GB"/>
              </w:rPr>
              <w:t>Also aware we are missing the '22.3 - Distributor' and '22.5 - Owner' sub elements completely form our outputs.</w:t>
            </w:r>
          </w:p>
          <w:p w14:paraId="5597445D" w14:textId="77777777" w:rsidR="00A50C9B" w:rsidRDefault="00A50C9B" w:rsidP="00DA601B"/>
        </w:tc>
        <w:tc>
          <w:tcPr>
            <w:tcW w:w="4343" w:type="dxa"/>
          </w:tcPr>
          <w:p w14:paraId="272676BC" w14:textId="77777777" w:rsidR="00A50C9B" w:rsidRDefault="00A50C9B" w:rsidP="00DA601B">
            <w:r>
              <w:rPr>
                <w:rStyle w:val="normaltextrun"/>
                <w:rFonts w:ascii="Calibri" w:hAnsi="Calibri"/>
                <w:color w:val="000000"/>
                <w:shd w:val="clear" w:color="auto" w:fill="FFFFFF"/>
              </w:rPr>
              <w:lastRenderedPageBreak/>
              <w:t>Developments of the MDR system, which are in progress in test environment.</w:t>
            </w:r>
            <w:r>
              <w:rPr>
                <w:rStyle w:val="eop"/>
                <w:rFonts w:ascii="Calibri" w:hAnsi="Calibri"/>
                <w:color w:val="000000"/>
                <w:shd w:val="clear" w:color="auto" w:fill="FFFFFF"/>
              </w:rPr>
              <w:t> </w:t>
            </w:r>
          </w:p>
        </w:tc>
      </w:tr>
      <w:tr w:rsidR="5437FB8D" w14:paraId="7154D417" w14:textId="77777777" w:rsidTr="5437FB8D">
        <w:tc>
          <w:tcPr>
            <w:tcW w:w="988" w:type="dxa"/>
          </w:tcPr>
          <w:p w14:paraId="26779325" w14:textId="417625B5" w:rsidR="42ABCBE0" w:rsidRDefault="42ABCBE0" w:rsidP="5437FB8D">
            <w:r>
              <w:t>DASSH</w:t>
            </w:r>
          </w:p>
        </w:tc>
        <w:tc>
          <w:tcPr>
            <w:tcW w:w="3685" w:type="dxa"/>
          </w:tcPr>
          <w:p w14:paraId="3D09064C" w14:textId="649BCE7C" w:rsidR="42ABCBE0" w:rsidRDefault="42ABCBE0" w:rsidP="5437FB8D">
            <w:pPr>
              <w:rPr>
                <w:rFonts w:ascii="Calibri" w:eastAsia="Calibri" w:hAnsi="Calibri" w:cs="Calibri"/>
              </w:rPr>
            </w:pPr>
            <w:r w:rsidRPr="5437FB8D">
              <w:rPr>
                <w:rFonts w:ascii="Calibri" w:eastAsia="Calibri" w:hAnsi="Calibri" w:cs="Calibri"/>
                <w:color w:val="000000" w:themeColor="text1"/>
              </w:rPr>
              <w:t>The current Metadata Editor does not include this vocabulary, but the new version will.</w:t>
            </w:r>
          </w:p>
        </w:tc>
        <w:tc>
          <w:tcPr>
            <w:tcW w:w="4343" w:type="dxa"/>
          </w:tcPr>
          <w:p w14:paraId="1812A188" w14:textId="1A0372E3" w:rsidR="42ABCBE0" w:rsidRDefault="42ABCBE0" w:rsidP="5437FB8D">
            <w:pPr>
              <w:rPr>
                <w:rStyle w:val="normaltextrun"/>
                <w:rFonts w:ascii="Calibri" w:hAnsi="Calibri"/>
                <w:color w:val="000000" w:themeColor="text1"/>
              </w:rPr>
            </w:pPr>
            <w:r w:rsidRPr="5437FB8D">
              <w:rPr>
                <w:rStyle w:val="normaltextrun"/>
                <w:rFonts w:ascii="Calibri" w:hAnsi="Calibri"/>
                <w:color w:val="000000" w:themeColor="text1"/>
              </w:rPr>
              <w:t>New version of Metadata Editor</w:t>
            </w:r>
          </w:p>
        </w:tc>
      </w:tr>
    </w:tbl>
    <w:p w14:paraId="772B6D7A" w14:textId="5813DEC0" w:rsidR="009B1437" w:rsidRDefault="009B1437" w:rsidP="0083074D"/>
    <w:p w14:paraId="19C9CC70" w14:textId="1D6001B3" w:rsidR="004A7A11" w:rsidRPr="00A50C9B" w:rsidRDefault="009B1437" w:rsidP="00A50C9B">
      <w:pPr>
        <w:pStyle w:val="ListParagraph"/>
        <w:numPr>
          <w:ilvl w:val="0"/>
          <w:numId w:val="2"/>
        </w:numPr>
        <w:rPr>
          <w:b/>
          <w:u w:val="single"/>
        </w:rPr>
      </w:pPr>
      <w:r w:rsidRPr="00A50C9B">
        <w:rPr>
          <w:b/>
          <w:u w:val="single"/>
        </w:rPr>
        <w:t>Limitations on Access:</w:t>
      </w:r>
    </w:p>
    <w:p w14:paraId="3DBF09F0" w14:textId="5722C63C" w:rsidR="009B1437" w:rsidRDefault="009B1437" w:rsidP="0083074D">
      <w:r>
        <w:t>S</w:t>
      </w:r>
      <w:r w:rsidR="2ECB6B41">
        <w:t>ix</w:t>
      </w:r>
      <w:r>
        <w:t xml:space="preserve"> DACs use the MEDIN-recommended controlled vocabulary for Limitations on Access.</w:t>
      </w:r>
    </w:p>
    <w:p w14:paraId="450D4B9E" w14:textId="4E4CC986" w:rsidR="004A7A11" w:rsidRDefault="7352B4B4" w:rsidP="0083074D">
      <w:r>
        <w:t xml:space="preserve">The new version of the Metadata Editor at DASSH will include the recommended vocabulary. </w:t>
      </w:r>
      <w:r w:rsidR="00A50C9B">
        <w:t xml:space="preserve">ADS </w:t>
      </w:r>
      <w:r w:rsidR="465C2CA7">
        <w:t xml:space="preserve">also </w:t>
      </w:r>
      <w:r w:rsidR="00A50C9B">
        <w:t>intends to use the MEDIN-recommended controlled vocabulary, once it has carried out minor development work. It is not as straightforward for HES to adopt use of this vocabulary.</w:t>
      </w:r>
    </w:p>
    <w:p w14:paraId="69F028F5" w14:textId="75288A98" w:rsidR="00072817" w:rsidRDefault="56219928" w:rsidP="0083074D">
      <w:r>
        <w:rPr>
          <w:noProof/>
          <w:lang w:eastAsia="en-GB"/>
        </w:rPr>
        <w:drawing>
          <wp:inline distT="0" distB="0" distL="0" distR="0" wp14:anchorId="4C2A5AF6" wp14:editId="298DC014">
            <wp:extent cx="4572000" cy="2743200"/>
            <wp:effectExtent l="0" t="0" r="0" b="0"/>
            <wp:docPr id="1605278466" name="Picture 1605278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572000" cy="2743200"/>
                    </a:xfrm>
                    <a:prstGeom prst="rect">
                      <a:avLst/>
                    </a:prstGeom>
                  </pic:spPr>
                </pic:pic>
              </a:graphicData>
            </a:graphic>
          </wp:inline>
        </w:drawing>
      </w:r>
    </w:p>
    <w:p w14:paraId="5FD4E087" w14:textId="571F7A62" w:rsidR="00072817" w:rsidRDefault="00072817" w:rsidP="5437FB8D"/>
    <w:p w14:paraId="5D5CAA31" w14:textId="0B2137AF" w:rsidR="008B3669" w:rsidRDefault="008B3669" w:rsidP="0083074D">
      <w:r>
        <w:t>Further detail on the responses from the individual DACs on use of the MEDIN-recommended controlled vocabulary for Limitations on Access are given in the table below.</w:t>
      </w:r>
    </w:p>
    <w:tbl>
      <w:tblPr>
        <w:tblStyle w:val="TableGrid"/>
        <w:tblW w:w="0" w:type="auto"/>
        <w:tblLook w:val="04A0" w:firstRow="1" w:lastRow="0" w:firstColumn="1" w:lastColumn="0" w:noHBand="0" w:noVBand="1"/>
      </w:tblPr>
      <w:tblGrid>
        <w:gridCol w:w="1696"/>
        <w:gridCol w:w="3402"/>
        <w:gridCol w:w="3918"/>
      </w:tblGrid>
      <w:tr w:rsidR="009B1437" w14:paraId="1DFB268A" w14:textId="77777777" w:rsidTr="5437FB8D">
        <w:tc>
          <w:tcPr>
            <w:tcW w:w="1696" w:type="dxa"/>
          </w:tcPr>
          <w:p w14:paraId="635C7384" w14:textId="10E9E8F0" w:rsidR="009B1437" w:rsidRPr="008B3669" w:rsidRDefault="009B1437" w:rsidP="0083074D">
            <w:pPr>
              <w:rPr>
                <w:b/>
              </w:rPr>
            </w:pPr>
            <w:r w:rsidRPr="008B3669">
              <w:rPr>
                <w:b/>
              </w:rPr>
              <w:t>DAC</w:t>
            </w:r>
          </w:p>
        </w:tc>
        <w:tc>
          <w:tcPr>
            <w:tcW w:w="3402" w:type="dxa"/>
          </w:tcPr>
          <w:p w14:paraId="6CC867F7" w14:textId="48DEF09E" w:rsidR="009B1437" w:rsidRPr="008B3669" w:rsidRDefault="009B1437" w:rsidP="0083074D">
            <w:pPr>
              <w:rPr>
                <w:b/>
              </w:rPr>
            </w:pPr>
            <w:r w:rsidRPr="008B3669">
              <w:rPr>
                <w:b/>
              </w:rPr>
              <w:t>Issue</w:t>
            </w:r>
            <w:r w:rsidR="004843B4">
              <w:rPr>
                <w:b/>
              </w:rPr>
              <w:t xml:space="preserve"> using MEDIN-recommended vocabulary for Limitations on Access</w:t>
            </w:r>
          </w:p>
        </w:tc>
        <w:tc>
          <w:tcPr>
            <w:tcW w:w="3918" w:type="dxa"/>
          </w:tcPr>
          <w:p w14:paraId="5F4966D7" w14:textId="6BCBB4F2" w:rsidR="009B1437" w:rsidRPr="008B3669" w:rsidRDefault="004843B4" w:rsidP="0083074D">
            <w:pPr>
              <w:rPr>
                <w:b/>
              </w:rPr>
            </w:pPr>
            <w:r>
              <w:rPr>
                <w:b/>
              </w:rPr>
              <w:t xml:space="preserve">Potential </w:t>
            </w:r>
            <w:r w:rsidR="009B1437" w:rsidRPr="008B3669">
              <w:rPr>
                <w:b/>
              </w:rPr>
              <w:t>Solution</w:t>
            </w:r>
          </w:p>
        </w:tc>
      </w:tr>
      <w:tr w:rsidR="009B1437" w14:paraId="12BDC9BE" w14:textId="77777777" w:rsidTr="5437FB8D">
        <w:tc>
          <w:tcPr>
            <w:tcW w:w="1696" w:type="dxa"/>
          </w:tcPr>
          <w:p w14:paraId="47024D35" w14:textId="3B86AA6B" w:rsidR="009B1437" w:rsidRDefault="009B1437" w:rsidP="0083074D">
            <w:r>
              <w:t>ADS</w:t>
            </w:r>
          </w:p>
        </w:tc>
        <w:tc>
          <w:tcPr>
            <w:tcW w:w="3402" w:type="dxa"/>
          </w:tcPr>
          <w:p w14:paraId="3E58B243" w14:textId="385A2584" w:rsidR="009B1437" w:rsidRDefault="009B1437" w:rsidP="0083074D">
            <w:r>
              <w:rPr>
                <w:rStyle w:val="normaltextrun"/>
                <w:rFonts w:ascii="Calibri" w:hAnsi="Calibri"/>
                <w:color w:val="000000"/>
                <w:shd w:val="clear" w:color="auto" w:fill="FFFFFF"/>
              </w:rPr>
              <w:t>We’ve never had limitations on Access. All data is free to use subject to the specific licence agreement, so having this as a separate field in our metadata has never been required.</w:t>
            </w:r>
          </w:p>
        </w:tc>
        <w:tc>
          <w:tcPr>
            <w:tcW w:w="3918" w:type="dxa"/>
          </w:tcPr>
          <w:p w14:paraId="6BBB7D2B" w14:textId="4BC4C203" w:rsidR="009B1437" w:rsidRDefault="00A50C9B" w:rsidP="0083074D">
            <w:r>
              <w:rPr>
                <w:rStyle w:val="normaltextrun"/>
                <w:rFonts w:ascii="Calibri" w:hAnsi="Calibri"/>
                <w:color w:val="000000"/>
                <w:shd w:val="clear" w:color="auto" w:fill="FFFFFF"/>
              </w:rPr>
              <w:t>We’ve agreed internally to use the ISO codes going forward – this will entail an extension to the ADS CMS (back-end db) and adding in an appropriate drop down in the user interface so it is recorded for all ADS archives. This is a minor development task.</w:t>
            </w:r>
            <w:r>
              <w:rPr>
                <w:rStyle w:val="eop"/>
                <w:rFonts w:ascii="Calibri" w:hAnsi="Calibri"/>
                <w:color w:val="000000"/>
                <w:shd w:val="clear" w:color="auto" w:fill="FFFFFF"/>
              </w:rPr>
              <w:t> </w:t>
            </w:r>
          </w:p>
        </w:tc>
      </w:tr>
      <w:tr w:rsidR="009B1437" w14:paraId="784B5A07" w14:textId="77777777" w:rsidTr="5437FB8D">
        <w:tc>
          <w:tcPr>
            <w:tcW w:w="1696" w:type="dxa"/>
          </w:tcPr>
          <w:p w14:paraId="15F13FE3" w14:textId="6DB3413A" w:rsidR="009B1437" w:rsidRDefault="009B1437" w:rsidP="0083074D">
            <w:r>
              <w:lastRenderedPageBreak/>
              <w:t>HES</w:t>
            </w:r>
          </w:p>
        </w:tc>
        <w:tc>
          <w:tcPr>
            <w:tcW w:w="3402" w:type="dxa"/>
          </w:tcPr>
          <w:p w14:paraId="632CB457" w14:textId="73E32284" w:rsidR="009B1437" w:rsidRDefault="00A50C9B" w:rsidP="0083074D">
            <w:r>
              <w:rPr>
                <w:rStyle w:val="normaltextrun"/>
                <w:rFonts w:ascii="Calibri" w:hAnsi="Calibri"/>
                <w:color w:val="000000"/>
                <w:bdr w:val="none" w:sz="0" w:space="0" w:color="auto" w:frame="1"/>
              </w:rPr>
              <w:t>ISAD(G) Element ‘Conditions of Access and Use’ are used.</w:t>
            </w:r>
          </w:p>
        </w:tc>
        <w:tc>
          <w:tcPr>
            <w:tcW w:w="3918" w:type="dxa"/>
          </w:tcPr>
          <w:p w14:paraId="450F5562" w14:textId="74054971" w:rsidR="009B1437" w:rsidRDefault="00A50C9B" w:rsidP="0083074D">
            <w:r>
              <w:rPr>
                <w:rStyle w:val="normaltextrun"/>
                <w:rFonts w:ascii="Calibri" w:hAnsi="Calibri"/>
                <w:color w:val="000000"/>
                <w:shd w:val="clear" w:color="auto" w:fill="FFFFFF"/>
              </w:rPr>
              <w:t>Would require system change (Unlikely) – or map to ISO values on export.</w:t>
            </w:r>
          </w:p>
        </w:tc>
      </w:tr>
      <w:tr w:rsidR="5437FB8D" w14:paraId="73ADE004" w14:textId="77777777" w:rsidTr="5437FB8D">
        <w:tc>
          <w:tcPr>
            <w:tcW w:w="1696" w:type="dxa"/>
          </w:tcPr>
          <w:p w14:paraId="7879D2DF" w14:textId="59EF51DF" w:rsidR="72AE5F12" w:rsidRDefault="72AE5F12" w:rsidP="5437FB8D">
            <w:r>
              <w:t>DASSH</w:t>
            </w:r>
          </w:p>
        </w:tc>
        <w:tc>
          <w:tcPr>
            <w:tcW w:w="3402" w:type="dxa"/>
          </w:tcPr>
          <w:p w14:paraId="3F79E32A" w14:textId="649BCE7C" w:rsidR="5437FB8D" w:rsidRDefault="5437FB8D" w:rsidP="5437FB8D">
            <w:pPr>
              <w:rPr>
                <w:rFonts w:ascii="Calibri" w:eastAsia="Calibri" w:hAnsi="Calibri" w:cs="Calibri"/>
              </w:rPr>
            </w:pPr>
            <w:r w:rsidRPr="5437FB8D">
              <w:rPr>
                <w:rFonts w:ascii="Calibri" w:eastAsia="Calibri" w:hAnsi="Calibri" w:cs="Calibri"/>
                <w:color w:val="000000" w:themeColor="text1"/>
              </w:rPr>
              <w:t>The current Metadata Editor does not include this vocabulary, but the new version will.</w:t>
            </w:r>
          </w:p>
        </w:tc>
        <w:tc>
          <w:tcPr>
            <w:tcW w:w="3918" w:type="dxa"/>
          </w:tcPr>
          <w:p w14:paraId="74E75A28" w14:textId="1A0372E3" w:rsidR="5437FB8D" w:rsidRDefault="5437FB8D" w:rsidP="5437FB8D">
            <w:pPr>
              <w:rPr>
                <w:rStyle w:val="normaltextrun"/>
                <w:rFonts w:ascii="Calibri" w:hAnsi="Calibri"/>
                <w:color w:val="000000" w:themeColor="text1"/>
              </w:rPr>
            </w:pPr>
            <w:r w:rsidRPr="5437FB8D">
              <w:rPr>
                <w:rStyle w:val="normaltextrun"/>
                <w:rFonts w:ascii="Calibri" w:hAnsi="Calibri"/>
                <w:color w:val="000000" w:themeColor="text1"/>
              </w:rPr>
              <w:t>New version of Metadata Editor</w:t>
            </w:r>
          </w:p>
        </w:tc>
      </w:tr>
    </w:tbl>
    <w:p w14:paraId="42F4940C" w14:textId="77777777" w:rsidR="00072817" w:rsidRDefault="00072817" w:rsidP="0083074D"/>
    <w:p w14:paraId="26989942" w14:textId="74B783F6" w:rsidR="009B1437" w:rsidRDefault="009B1437"/>
    <w:p w14:paraId="7BB528FF" w14:textId="67ECC9C3" w:rsidR="000E03E6" w:rsidRDefault="000E03E6" w:rsidP="000E03E6">
      <w:pPr>
        <w:pStyle w:val="Heading2"/>
      </w:pPr>
      <w:r>
        <w:t>Questions for the DACs:</w:t>
      </w:r>
    </w:p>
    <w:p w14:paraId="49352B79" w14:textId="41AF4349" w:rsidR="000E03E6" w:rsidRDefault="000E03E6" w:rsidP="000E03E6">
      <w:pPr>
        <w:pStyle w:val="ListParagraph"/>
        <w:numPr>
          <w:ilvl w:val="0"/>
          <w:numId w:val="3"/>
        </w:numPr>
      </w:pPr>
      <w:r>
        <w:t>What does success look like for a DAC-wide approach to provenance tracking?</w:t>
      </w:r>
    </w:p>
    <w:p w14:paraId="71CEB6A7" w14:textId="7041E0BF" w:rsidR="000E03E6" w:rsidRDefault="000E03E6" w:rsidP="000E03E6">
      <w:pPr>
        <w:pStyle w:val="ListParagraph"/>
        <w:numPr>
          <w:ilvl w:val="0"/>
          <w:numId w:val="3"/>
        </w:numPr>
      </w:pPr>
      <w:r>
        <w:t>Are there particular fields we should focus on to try and get all DACs using the MEDIN-recommended controlled vocabulary?</w:t>
      </w:r>
    </w:p>
    <w:p w14:paraId="627B7F24" w14:textId="7310B6A3" w:rsidR="000E03E6" w:rsidRDefault="000E03E6" w:rsidP="000E03E6">
      <w:pPr>
        <w:pStyle w:val="ListParagraph"/>
        <w:numPr>
          <w:ilvl w:val="0"/>
          <w:numId w:val="3"/>
        </w:numPr>
      </w:pPr>
      <w:r>
        <w:t>Where does a DAC-wide approach to provenance tracking sit in terms of priority with other tasks on the DAC work plan?</w:t>
      </w:r>
    </w:p>
    <w:p w14:paraId="2A57F8B3" w14:textId="4D39E912" w:rsidR="000E03E6" w:rsidRDefault="000E03E6" w:rsidP="000E03E6">
      <w:pPr>
        <w:pStyle w:val="ListParagraph"/>
        <w:numPr>
          <w:ilvl w:val="0"/>
          <w:numId w:val="3"/>
        </w:numPr>
      </w:pPr>
      <w:r>
        <w:t xml:space="preserve">What are the next steps? </w:t>
      </w:r>
    </w:p>
    <w:p w14:paraId="0F34DC35" w14:textId="77777777" w:rsidR="000E03E6" w:rsidRDefault="000E03E6">
      <w:bookmarkStart w:id="0" w:name="_GoBack"/>
      <w:bookmarkEnd w:id="0"/>
    </w:p>
    <w:sectPr w:rsidR="000E03E6">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2882679" w16cex:dateUtc="2021-04-20T12:47:35.649Z"/>
</w16cex:commentsExtensible>
</file>

<file path=word/commentsIds.xml><?xml version="1.0" encoding="utf-8"?>
<w16cid:commentsIds xmlns:mc="http://schemas.openxmlformats.org/markup-compatibility/2006" xmlns:w16cid="http://schemas.microsoft.com/office/word/2016/wordml/cid" mc:Ignorable="w16cid">
  <w16cid:commentId w16cid:paraId="7E4AF504" w16cid:durableId="0288267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B585F"/>
    <w:multiLevelType w:val="hybridMultilevel"/>
    <w:tmpl w:val="F37ED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3E530D"/>
    <w:multiLevelType w:val="hybridMultilevel"/>
    <w:tmpl w:val="39E0A6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5070DC9"/>
    <w:multiLevelType w:val="hybridMultilevel"/>
    <w:tmpl w:val="18A286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71D"/>
    <w:rsid w:val="00072817"/>
    <w:rsid w:val="000E03E6"/>
    <w:rsid w:val="00212DB7"/>
    <w:rsid w:val="002B61F0"/>
    <w:rsid w:val="004843B4"/>
    <w:rsid w:val="004A7A11"/>
    <w:rsid w:val="0072571D"/>
    <w:rsid w:val="0083074D"/>
    <w:rsid w:val="008B3669"/>
    <w:rsid w:val="008B7746"/>
    <w:rsid w:val="009B1437"/>
    <w:rsid w:val="009D1CF9"/>
    <w:rsid w:val="00A50C9B"/>
    <w:rsid w:val="00AB22BD"/>
    <w:rsid w:val="00BA0C64"/>
    <w:rsid w:val="00D36C1A"/>
    <w:rsid w:val="00FB3C71"/>
    <w:rsid w:val="05D151DE"/>
    <w:rsid w:val="06367FC0"/>
    <w:rsid w:val="16FDA85C"/>
    <w:rsid w:val="23130813"/>
    <w:rsid w:val="2ECB6B41"/>
    <w:rsid w:val="42ABCBE0"/>
    <w:rsid w:val="465C2CA7"/>
    <w:rsid w:val="47C5AB7A"/>
    <w:rsid w:val="49D150A0"/>
    <w:rsid w:val="53CE89B4"/>
    <w:rsid w:val="5437FB8D"/>
    <w:rsid w:val="54D72AC8"/>
    <w:rsid w:val="56219928"/>
    <w:rsid w:val="58635F42"/>
    <w:rsid w:val="66C48A4E"/>
    <w:rsid w:val="68605AAF"/>
    <w:rsid w:val="6B97FB71"/>
    <w:rsid w:val="72AE5F12"/>
    <w:rsid w:val="7352B4B4"/>
    <w:rsid w:val="7A1A3C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B29D3"/>
  <w15:chartTrackingRefBased/>
  <w15:docId w15:val="{BC97D4CD-4CA0-4D1B-86A9-9F29CC0D1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50C9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50C9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257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2571D"/>
  </w:style>
  <w:style w:type="paragraph" w:customStyle="1" w:styleId="paragraph">
    <w:name w:val="paragraph"/>
    <w:basedOn w:val="Normal"/>
    <w:rsid w:val="0072571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72571D"/>
  </w:style>
  <w:style w:type="paragraph" w:styleId="ListParagraph">
    <w:name w:val="List Paragraph"/>
    <w:basedOn w:val="Normal"/>
    <w:uiPriority w:val="34"/>
    <w:qFormat/>
    <w:rsid w:val="0083074D"/>
    <w:pPr>
      <w:ind w:left="720"/>
      <w:contextualSpacing/>
    </w:pPr>
  </w:style>
  <w:style w:type="character" w:customStyle="1" w:styleId="Heading1Char">
    <w:name w:val="Heading 1 Char"/>
    <w:basedOn w:val="DefaultParagraphFont"/>
    <w:link w:val="Heading1"/>
    <w:uiPriority w:val="9"/>
    <w:rsid w:val="00A50C9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50C9B"/>
    <w:rPr>
      <w:rFonts w:asciiTheme="majorHAnsi" w:eastAsiaTheme="majorEastAsia" w:hAnsiTheme="majorHAnsi" w:cstheme="majorBidi"/>
      <w:color w:val="2E74B5" w:themeColor="accent1" w:themeShade="BF"/>
      <w:sz w:val="26"/>
      <w:szCs w:val="2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A0C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0C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158727">
      <w:bodyDiv w:val="1"/>
      <w:marLeft w:val="0"/>
      <w:marRight w:val="0"/>
      <w:marTop w:val="0"/>
      <w:marBottom w:val="0"/>
      <w:divBdr>
        <w:top w:val="none" w:sz="0" w:space="0" w:color="auto"/>
        <w:left w:val="none" w:sz="0" w:space="0" w:color="auto"/>
        <w:bottom w:val="none" w:sz="0" w:space="0" w:color="auto"/>
        <w:right w:val="none" w:sz="0" w:space="0" w:color="auto"/>
      </w:divBdr>
      <w:divsChild>
        <w:div w:id="426780112">
          <w:marLeft w:val="0"/>
          <w:marRight w:val="0"/>
          <w:marTop w:val="0"/>
          <w:marBottom w:val="0"/>
          <w:divBdr>
            <w:top w:val="none" w:sz="0" w:space="0" w:color="auto"/>
            <w:left w:val="none" w:sz="0" w:space="0" w:color="auto"/>
            <w:bottom w:val="none" w:sz="0" w:space="0" w:color="auto"/>
            <w:right w:val="none" w:sz="0" w:space="0" w:color="auto"/>
          </w:divBdr>
        </w:div>
        <w:div w:id="1075470578">
          <w:marLeft w:val="0"/>
          <w:marRight w:val="0"/>
          <w:marTop w:val="0"/>
          <w:marBottom w:val="0"/>
          <w:divBdr>
            <w:top w:val="none" w:sz="0" w:space="0" w:color="auto"/>
            <w:left w:val="none" w:sz="0" w:space="0" w:color="auto"/>
            <w:bottom w:val="none" w:sz="0" w:space="0" w:color="auto"/>
            <w:right w:val="none" w:sz="0" w:space="0" w:color="auto"/>
          </w:divBdr>
        </w:div>
        <w:div w:id="1419985593">
          <w:marLeft w:val="0"/>
          <w:marRight w:val="0"/>
          <w:marTop w:val="0"/>
          <w:marBottom w:val="0"/>
          <w:divBdr>
            <w:top w:val="none" w:sz="0" w:space="0" w:color="auto"/>
            <w:left w:val="none" w:sz="0" w:space="0" w:color="auto"/>
            <w:bottom w:val="none" w:sz="0" w:space="0" w:color="auto"/>
            <w:right w:val="none" w:sz="0" w:space="0" w:color="auto"/>
          </w:divBdr>
        </w:div>
        <w:div w:id="1371371196">
          <w:marLeft w:val="0"/>
          <w:marRight w:val="0"/>
          <w:marTop w:val="0"/>
          <w:marBottom w:val="0"/>
          <w:divBdr>
            <w:top w:val="none" w:sz="0" w:space="0" w:color="auto"/>
            <w:left w:val="none" w:sz="0" w:space="0" w:color="auto"/>
            <w:bottom w:val="none" w:sz="0" w:space="0" w:color="auto"/>
            <w:right w:val="none" w:sz="0" w:space="0" w:color="auto"/>
          </w:divBdr>
        </w:div>
        <w:div w:id="620302674">
          <w:marLeft w:val="0"/>
          <w:marRight w:val="0"/>
          <w:marTop w:val="0"/>
          <w:marBottom w:val="0"/>
          <w:divBdr>
            <w:top w:val="none" w:sz="0" w:space="0" w:color="auto"/>
            <w:left w:val="none" w:sz="0" w:space="0" w:color="auto"/>
            <w:bottom w:val="none" w:sz="0" w:space="0" w:color="auto"/>
            <w:right w:val="none" w:sz="0" w:space="0" w:color="auto"/>
          </w:divBdr>
        </w:div>
      </w:divsChild>
    </w:div>
    <w:div w:id="269315140">
      <w:bodyDiv w:val="1"/>
      <w:marLeft w:val="0"/>
      <w:marRight w:val="0"/>
      <w:marTop w:val="0"/>
      <w:marBottom w:val="0"/>
      <w:divBdr>
        <w:top w:val="none" w:sz="0" w:space="0" w:color="auto"/>
        <w:left w:val="none" w:sz="0" w:space="0" w:color="auto"/>
        <w:bottom w:val="none" w:sz="0" w:space="0" w:color="auto"/>
        <w:right w:val="none" w:sz="0" w:space="0" w:color="auto"/>
      </w:divBdr>
      <w:divsChild>
        <w:div w:id="1758207369">
          <w:marLeft w:val="0"/>
          <w:marRight w:val="0"/>
          <w:marTop w:val="0"/>
          <w:marBottom w:val="0"/>
          <w:divBdr>
            <w:top w:val="none" w:sz="0" w:space="0" w:color="auto"/>
            <w:left w:val="none" w:sz="0" w:space="0" w:color="auto"/>
            <w:bottom w:val="none" w:sz="0" w:space="0" w:color="auto"/>
            <w:right w:val="none" w:sz="0" w:space="0" w:color="auto"/>
          </w:divBdr>
        </w:div>
        <w:div w:id="834688860">
          <w:marLeft w:val="0"/>
          <w:marRight w:val="0"/>
          <w:marTop w:val="0"/>
          <w:marBottom w:val="0"/>
          <w:divBdr>
            <w:top w:val="none" w:sz="0" w:space="0" w:color="auto"/>
            <w:left w:val="none" w:sz="0" w:space="0" w:color="auto"/>
            <w:bottom w:val="none" w:sz="0" w:space="0" w:color="auto"/>
            <w:right w:val="none" w:sz="0" w:space="0" w:color="auto"/>
          </w:divBdr>
        </w:div>
      </w:divsChild>
    </w:div>
    <w:div w:id="312756245">
      <w:bodyDiv w:val="1"/>
      <w:marLeft w:val="0"/>
      <w:marRight w:val="0"/>
      <w:marTop w:val="0"/>
      <w:marBottom w:val="0"/>
      <w:divBdr>
        <w:top w:val="none" w:sz="0" w:space="0" w:color="auto"/>
        <w:left w:val="none" w:sz="0" w:space="0" w:color="auto"/>
        <w:bottom w:val="none" w:sz="0" w:space="0" w:color="auto"/>
        <w:right w:val="none" w:sz="0" w:space="0" w:color="auto"/>
      </w:divBdr>
      <w:divsChild>
        <w:div w:id="2131777873">
          <w:marLeft w:val="0"/>
          <w:marRight w:val="0"/>
          <w:marTop w:val="0"/>
          <w:marBottom w:val="0"/>
          <w:divBdr>
            <w:top w:val="none" w:sz="0" w:space="0" w:color="auto"/>
            <w:left w:val="none" w:sz="0" w:space="0" w:color="auto"/>
            <w:bottom w:val="none" w:sz="0" w:space="0" w:color="auto"/>
            <w:right w:val="none" w:sz="0" w:space="0" w:color="auto"/>
          </w:divBdr>
        </w:div>
        <w:div w:id="445122410">
          <w:marLeft w:val="0"/>
          <w:marRight w:val="0"/>
          <w:marTop w:val="0"/>
          <w:marBottom w:val="0"/>
          <w:divBdr>
            <w:top w:val="none" w:sz="0" w:space="0" w:color="auto"/>
            <w:left w:val="none" w:sz="0" w:space="0" w:color="auto"/>
            <w:bottom w:val="none" w:sz="0" w:space="0" w:color="auto"/>
            <w:right w:val="none" w:sz="0" w:space="0" w:color="auto"/>
          </w:divBdr>
        </w:div>
        <w:div w:id="1867937590">
          <w:marLeft w:val="0"/>
          <w:marRight w:val="0"/>
          <w:marTop w:val="0"/>
          <w:marBottom w:val="0"/>
          <w:divBdr>
            <w:top w:val="none" w:sz="0" w:space="0" w:color="auto"/>
            <w:left w:val="none" w:sz="0" w:space="0" w:color="auto"/>
            <w:bottom w:val="none" w:sz="0" w:space="0" w:color="auto"/>
            <w:right w:val="none" w:sz="0" w:space="0" w:color="auto"/>
          </w:divBdr>
        </w:div>
        <w:div w:id="2102867402">
          <w:marLeft w:val="0"/>
          <w:marRight w:val="0"/>
          <w:marTop w:val="0"/>
          <w:marBottom w:val="0"/>
          <w:divBdr>
            <w:top w:val="none" w:sz="0" w:space="0" w:color="auto"/>
            <w:left w:val="none" w:sz="0" w:space="0" w:color="auto"/>
            <w:bottom w:val="none" w:sz="0" w:space="0" w:color="auto"/>
            <w:right w:val="none" w:sz="0" w:space="0" w:color="auto"/>
          </w:divBdr>
        </w:div>
      </w:divsChild>
    </w:div>
    <w:div w:id="994721406">
      <w:bodyDiv w:val="1"/>
      <w:marLeft w:val="0"/>
      <w:marRight w:val="0"/>
      <w:marTop w:val="0"/>
      <w:marBottom w:val="0"/>
      <w:divBdr>
        <w:top w:val="none" w:sz="0" w:space="0" w:color="auto"/>
        <w:left w:val="none" w:sz="0" w:space="0" w:color="auto"/>
        <w:bottom w:val="none" w:sz="0" w:space="0" w:color="auto"/>
        <w:right w:val="none" w:sz="0" w:space="0" w:color="auto"/>
      </w:divBdr>
      <w:divsChild>
        <w:div w:id="925772144">
          <w:marLeft w:val="0"/>
          <w:marRight w:val="0"/>
          <w:marTop w:val="0"/>
          <w:marBottom w:val="0"/>
          <w:divBdr>
            <w:top w:val="none" w:sz="0" w:space="0" w:color="auto"/>
            <w:left w:val="none" w:sz="0" w:space="0" w:color="auto"/>
            <w:bottom w:val="none" w:sz="0" w:space="0" w:color="auto"/>
            <w:right w:val="none" w:sz="0" w:space="0" w:color="auto"/>
          </w:divBdr>
        </w:div>
        <w:div w:id="1338072035">
          <w:marLeft w:val="0"/>
          <w:marRight w:val="0"/>
          <w:marTop w:val="0"/>
          <w:marBottom w:val="0"/>
          <w:divBdr>
            <w:top w:val="none" w:sz="0" w:space="0" w:color="auto"/>
            <w:left w:val="none" w:sz="0" w:space="0" w:color="auto"/>
            <w:bottom w:val="none" w:sz="0" w:space="0" w:color="auto"/>
            <w:right w:val="none" w:sz="0" w:space="0" w:color="auto"/>
          </w:divBdr>
        </w:div>
      </w:divsChild>
    </w:div>
    <w:div w:id="1348824856">
      <w:bodyDiv w:val="1"/>
      <w:marLeft w:val="0"/>
      <w:marRight w:val="0"/>
      <w:marTop w:val="0"/>
      <w:marBottom w:val="0"/>
      <w:divBdr>
        <w:top w:val="none" w:sz="0" w:space="0" w:color="auto"/>
        <w:left w:val="none" w:sz="0" w:space="0" w:color="auto"/>
        <w:bottom w:val="none" w:sz="0" w:space="0" w:color="auto"/>
        <w:right w:val="none" w:sz="0" w:space="0" w:color="auto"/>
      </w:divBdr>
      <w:divsChild>
        <w:div w:id="274991192">
          <w:marLeft w:val="0"/>
          <w:marRight w:val="0"/>
          <w:marTop w:val="0"/>
          <w:marBottom w:val="0"/>
          <w:divBdr>
            <w:top w:val="none" w:sz="0" w:space="0" w:color="auto"/>
            <w:left w:val="none" w:sz="0" w:space="0" w:color="auto"/>
            <w:bottom w:val="none" w:sz="0" w:space="0" w:color="auto"/>
            <w:right w:val="none" w:sz="0" w:space="0" w:color="auto"/>
          </w:divBdr>
        </w:div>
        <w:div w:id="568728680">
          <w:marLeft w:val="0"/>
          <w:marRight w:val="0"/>
          <w:marTop w:val="0"/>
          <w:marBottom w:val="0"/>
          <w:divBdr>
            <w:top w:val="none" w:sz="0" w:space="0" w:color="auto"/>
            <w:left w:val="none" w:sz="0" w:space="0" w:color="auto"/>
            <w:bottom w:val="none" w:sz="0" w:space="0" w:color="auto"/>
            <w:right w:val="none" w:sz="0" w:space="0" w:color="auto"/>
          </w:divBdr>
        </w:div>
        <w:div w:id="1444421624">
          <w:marLeft w:val="0"/>
          <w:marRight w:val="0"/>
          <w:marTop w:val="0"/>
          <w:marBottom w:val="0"/>
          <w:divBdr>
            <w:top w:val="none" w:sz="0" w:space="0" w:color="auto"/>
            <w:left w:val="none" w:sz="0" w:space="0" w:color="auto"/>
            <w:bottom w:val="none" w:sz="0" w:space="0" w:color="auto"/>
            <w:right w:val="none" w:sz="0" w:space="0" w:color="auto"/>
          </w:divBdr>
        </w:div>
        <w:div w:id="1882669398">
          <w:marLeft w:val="0"/>
          <w:marRight w:val="0"/>
          <w:marTop w:val="0"/>
          <w:marBottom w:val="0"/>
          <w:divBdr>
            <w:top w:val="none" w:sz="0" w:space="0" w:color="auto"/>
            <w:left w:val="none" w:sz="0" w:space="0" w:color="auto"/>
            <w:bottom w:val="none" w:sz="0" w:space="0" w:color="auto"/>
            <w:right w:val="none" w:sz="0" w:space="0" w:color="auto"/>
          </w:divBdr>
        </w:div>
        <w:div w:id="314377765">
          <w:marLeft w:val="0"/>
          <w:marRight w:val="0"/>
          <w:marTop w:val="0"/>
          <w:marBottom w:val="0"/>
          <w:divBdr>
            <w:top w:val="none" w:sz="0" w:space="0" w:color="auto"/>
            <w:left w:val="none" w:sz="0" w:space="0" w:color="auto"/>
            <w:bottom w:val="none" w:sz="0" w:space="0" w:color="auto"/>
            <w:right w:val="none" w:sz="0" w:space="0" w:color="auto"/>
          </w:divBdr>
        </w:div>
      </w:divsChild>
    </w:div>
    <w:div w:id="1420755027">
      <w:bodyDiv w:val="1"/>
      <w:marLeft w:val="0"/>
      <w:marRight w:val="0"/>
      <w:marTop w:val="0"/>
      <w:marBottom w:val="0"/>
      <w:divBdr>
        <w:top w:val="none" w:sz="0" w:space="0" w:color="auto"/>
        <w:left w:val="none" w:sz="0" w:space="0" w:color="auto"/>
        <w:bottom w:val="none" w:sz="0" w:space="0" w:color="auto"/>
        <w:right w:val="none" w:sz="0" w:space="0" w:color="auto"/>
      </w:divBdr>
      <w:divsChild>
        <w:div w:id="577905423">
          <w:marLeft w:val="0"/>
          <w:marRight w:val="0"/>
          <w:marTop w:val="0"/>
          <w:marBottom w:val="0"/>
          <w:divBdr>
            <w:top w:val="none" w:sz="0" w:space="0" w:color="auto"/>
            <w:left w:val="none" w:sz="0" w:space="0" w:color="auto"/>
            <w:bottom w:val="none" w:sz="0" w:space="0" w:color="auto"/>
            <w:right w:val="none" w:sz="0" w:space="0" w:color="auto"/>
          </w:divBdr>
        </w:div>
        <w:div w:id="2072340415">
          <w:marLeft w:val="0"/>
          <w:marRight w:val="0"/>
          <w:marTop w:val="0"/>
          <w:marBottom w:val="0"/>
          <w:divBdr>
            <w:top w:val="none" w:sz="0" w:space="0" w:color="auto"/>
            <w:left w:val="none" w:sz="0" w:space="0" w:color="auto"/>
            <w:bottom w:val="none" w:sz="0" w:space="0" w:color="auto"/>
            <w:right w:val="none" w:sz="0" w:space="0" w:color="auto"/>
          </w:divBdr>
        </w:div>
        <w:div w:id="1131244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f9e384e4b1ce4648" Type="http://schemas.microsoft.com/office/2018/08/relationships/commentsExtensible" Target="commentsExtensible.xml"/><Relationship Id="rId3" Type="http://schemas.openxmlformats.org/officeDocument/2006/relationships/customXml" Target="../customXml/item3.xml"/><Relationship Id="R98be781555e84405"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https://www.orca-archaeology.org/orcamarine.html"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nercacuk-my.sharepoint.com/personal/robm_noc_ac_uk/Documents/MEDIN/provenance%20tracking/Provenance%20questionnaires/Prov2%20result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Organisation name (EDMO)</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Sheet1!$A$24</c:f>
              <c:strCache>
                <c:ptCount val="1"/>
                <c:pt idx="0">
                  <c:v>UKHO</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cat>
            <c:strRef>
              <c:f>Sheet1!$B$23:$C$23</c:f>
              <c:strCache>
                <c:ptCount val="2"/>
                <c:pt idx="0">
                  <c:v>Yes</c:v>
                </c:pt>
                <c:pt idx="1">
                  <c:v>No</c:v>
                </c:pt>
              </c:strCache>
            </c:strRef>
          </c:cat>
          <c:val>
            <c:numRef>
              <c:f>Sheet1!$B$24:$C$24</c:f>
              <c:numCache>
                <c:formatCode>General</c:formatCode>
                <c:ptCount val="2"/>
                <c:pt idx="1">
                  <c:v>1</c:v>
                </c:pt>
              </c:numCache>
            </c:numRef>
          </c:val>
          <c:extLst>
            <c:ext xmlns:c16="http://schemas.microsoft.com/office/drawing/2014/chart" uri="{C3380CC4-5D6E-409C-BE32-E72D297353CC}">
              <c16:uniqueId val="{00000000-8761-4D19-949D-FA9FF3EB526E}"/>
            </c:ext>
          </c:extLst>
        </c:ser>
        <c:ser>
          <c:idx val="1"/>
          <c:order val="1"/>
          <c:tx>
            <c:strRef>
              <c:f>Sheet1!$A$25</c:f>
              <c:strCache>
                <c:ptCount val="1"/>
                <c:pt idx="0">
                  <c:v>MSS</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Sheet1!$B$23:$C$23</c:f>
              <c:strCache>
                <c:ptCount val="2"/>
                <c:pt idx="0">
                  <c:v>Yes</c:v>
                </c:pt>
                <c:pt idx="1">
                  <c:v>No</c:v>
                </c:pt>
              </c:strCache>
            </c:strRef>
          </c:cat>
          <c:val>
            <c:numRef>
              <c:f>Sheet1!$B$25:$C$25</c:f>
              <c:numCache>
                <c:formatCode>General</c:formatCode>
                <c:ptCount val="2"/>
                <c:pt idx="1">
                  <c:v>1</c:v>
                </c:pt>
              </c:numCache>
            </c:numRef>
          </c:val>
          <c:extLst>
            <c:ext xmlns:c16="http://schemas.microsoft.com/office/drawing/2014/chart" uri="{C3380CC4-5D6E-409C-BE32-E72D297353CC}">
              <c16:uniqueId val="{00000001-8761-4D19-949D-FA9FF3EB526E}"/>
            </c:ext>
          </c:extLst>
        </c:ser>
        <c:ser>
          <c:idx val="2"/>
          <c:order val="2"/>
          <c:tx>
            <c:strRef>
              <c:f>Sheet1!$A$26</c:f>
              <c:strCache>
                <c:ptCount val="1"/>
                <c:pt idx="0">
                  <c:v>BODC</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Sheet1!$B$23:$C$23</c:f>
              <c:strCache>
                <c:ptCount val="2"/>
                <c:pt idx="0">
                  <c:v>Yes</c:v>
                </c:pt>
                <c:pt idx="1">
                  <c:v>No</c:v>
                </c:pt>
              </c:strCache>
            </c:strRef>
          </c:cat>
          <c:val>
            <c:numRef>
              <c:f>Sheet1!$B$26:$C$26</c:f>
              <c:numCache>
                <c:formatCode>General</c:formatCode>
                <c:ptCount val="2"/>
                <c:pt idx="0">
                  <c:v>1</c:v>
                </c:pt>
              </c:numCache>
            </c:numRef>
          </c:val>
          <c:extLst>
            <c:ext xmlns:c16="http://schemas.microsoft.com/office/drawing/2014/chart" uri="{C3380CC4-5D6E-409C-BE32-E72D297353CC}">
              <c16:uniqueId val="{00000002-8761-4D19-949D-FA9FF3EB526E}"/>
            </c:ext>
          </c:extLst>
        </c:ser>
        <c:ser>
          <c:idx val="3"/>
          <c:order val="3"/>
          <c:tx>
            <c:strRef>
              <c:f>Sheet1!$A$27</c:f>
              <c:strCache>
                <c:ptCount val="1"/>
                <c:pt idx="0">
                  <c:v>BGS</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Sheet1!$B$23:$C$23</c:f>
              <c:strCache>
                <c:ptCount val="2"/>
                <c:pt idx="0">
                  <c:v>Yes</c:v>
                </c:pt>
                <c:pt idx="1">
                  <c:v>No</c:v>
                </c:pt>
              </c:strCache>
            </c:strRef>
          </c:cat>
          <c:val>
            <c:numRef>
              <c:f>Sheet1!$B$27:$C$27</c:f>
              <c:numCache>
                <c:formatCode>General</c:formatCode>
                <c:ptCount val="2"/>
                <c:pt idx="1">
                  <c:v>1</c:v>
                </c:pt>
              </c:numCache>
            </c:numRef>
          </c:val>
          <c:extLst>
            <c:ext xmlns:c16="http://schemas.microsoft.com/office/drawing/2014/chart" uri="{C3380CC4-5D6E-409C-BE32-E72D297353CC}">
              <c16:uniqueId val="{00000003-8761-4D19-949D-FA9FF3EB526E}"/>
            </c:ext>
          </c:extLst>
        </c:ser>
        <c:ser>
          <c:idx val="4"/>
          <c:order val="4"/>
          <c:tx>
            <c:strRef>
              <c:f>Sheet1!$A$28</c:f>
              <c:strCache>
                <c:ptCount val="1"/>
                <c:pt idx="0">
                  <c:v>Cefas</c:v>
                </c:pt>
              </c:strCache>
            </c:strRef>
          </c:tx>
          <c:spPr>
            <a:solidFill>
              <a:srgbClr val="07E94D"/>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Sheet1!$B$23:$C$23</c:f>
              <c:strCache>
                <c:ptCount val="2"/>
                <c:pt idx="0">
                  <c:v>Yes</c:v>
                </c:pt>
                <c:pt idx="1">
                  <c:v>No</c:v>
                </c:pt>
              </c:strCache>
            </c:strRef>
          </c:cat>
          <c:val>
            <c:numRef>
              <c:f>Sheet1!$B$28:$C$28</c:f>
              <c:numCache>
                <c:formatCode>General</c:formatCode>
                <c:ptCount val="2"/>
                <c:pt idx="1">
                  <c:v>1</c:v>
                </c:pt>
              </c:numCache>
            </c:numRef>
          </c:val>
          <c:extLst>
            <c:ext xmlns:c16="http://schemas.microsoft.com/office/drawing/2014/chart" uri="{C3380CC4-5D6E-409C-BE32-E72D297353CC}">
              <c16:uniqueId val="{00000004-8761-4D19-949D-FA9FF3EB526E}"/>
            </c:ext>
          </c:extLst>
        </c:ser>
        <c:ser>
          <c:idx val="5"/>
          <c:order val="5"/>
          <c:tx>
            <c:strRef>
              <c:f>Sheet1!$A$29</c:f>
              <c:strCache>
                <c:ptCount val="1"/>
                <c:pt idx="0">
                  <c:v>Met Office</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Sheet1!$B$23:$C$23</c:f>
              <c:strCache>
                <c:ptCount val="2"/>
                <c:pt idx="0">
                  <c:v>Yes</c:v>
                </c:pt>
                <c:pt idx="1">
                  <c:v>No</c:v>
                </c:pt>
              </c:strCache>
            </c:strRef>
          </c:cat>
          <c:val>
            <c:numRef>
              <c:f>Sheet1!$B$29:$C$29</c:f>
              <c:numCache>
                <c:formatCode>General</c:formatCode>
                <c:ptCount val="2"/>
                <c:pt idx="0">
                  <c:v>1</c:v>
                </c:pt>
              </c:numCache>
            </c:numRef>
          </c:val>
          <c:extLst>
            <c:ext xmlns:c16="http://schemas.microsoft.com/office/drawing/2014/chart" uri="{C3380CC4-5D6E-409C-BE32-E72D297353CC}">
              <c16:uniqueId val="{00000005-8761-4D19-949D-FA9FF3EB526E}"/>
            </c:ext>
          </c:extLst>
        </c:ser>
        <c:ser>
          <c:idx val="6"/>
          <c:order val="6"/>
          <c:tx>
            <c:strRef>
              <c:f>Sheet1!$A$30</c:f>
              <c:strCache>
                <c:ptCount val="1"/>
                <c:pt idx="0">
                  <c:v>HES</c:v>
                </c:pt>
              </c:strCache>
            </c:strRef>
          </c:tx>
          <c:spPr>
            <a:solidFill>
              <a:srgbClr val="00B0F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Sheet1!$B$23:$C$23</c:f>
              <c:strCache>
                <c:ptCount val="2"/>
                <c:pt idx="0">
                  <c:v>Yes</c:v>
                </c:pt>
                <c:pt idx="1">
                  <c:v>No</c:v>
                </c:pt>
              </c:strCache>
            </c:strRef>
          </c:cat>
          <c:val>
            <c:numRef>
              <c:f>Sheet1!$B$30:$C$30</c:f>
              <c:numCache>
                <c:formatCode>General</c:formatCode>
                <c:ptCount val="2"/>
                <c:pt idx="1">
                  <c:v>1</c:v>
                </c:pt>
              </c:numCache>
            </c:numRef>
          </c:val>
          <c:extLst>
            <c:ext xmlns:c16="http://schemas.microsoft.com/office/drawing/2014/chart" uri="{C3380CC4-5D6E-409C-BE32-E72D297353CC}">
              <c16:uniqueId val="{00000006-8761-4D19-949D-FA9FF3EB526E}"/>
            </c:ext>
          </c:extLst>
        </c:ser>
        <c:ser>
          <c:idx val="7"/>
          <c:order val="7"/>
          <c:tx>
            <c:strRef>
              <c:f>Sheet1!$A$31</c:f>
              <c:strCache>
                <c:ptCount val="1"/>
                <c:pt idx="0">
                  <c:v>ADS</c:v>
                </c:pt>
              </c:strCache>
            </c:strRef>
          </c:tx>
          <c:spPr>
            <a:solidFill>
              <a:srgbClr val="FFFF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Sheet1!$B$23:$C$23</c:f>
              <c:strCache>
                <c:ptCount val="2"/>
                <c:pt idx="0">
                  <c:v>Yes</c:v>
                </c:pt>
                <c:pt idx="1">
                  <c:v>No</c:v>
                </c:pt>
              </c:strCache>
            </c:strRef>
          </c:cat>
          <c:val>
            <c:numRef>
              <c:f>Sheet1!$B$31:$C$31</c:f>
              <c:numCache>
                <c:formatCode>General</c:formatCode>
                <c:ptCount val="2"/>
                <c:pt idx="1">
                  <c:v>1</c:v>
                </c:pt>
              </c:numCache>
            </c:numRef>
          </c:val>
          <c:extLst>
            <c:ext xmlns:c16="http://schemas.microsoft.com/office/drawing/2014/chart" uri="{C3380CC4-5D6E-409C-BE32-E72D297353CC}">
              <c16:uniqueId val="{00000007-8761-4D19-949D-FA9FF3EB526E}"/>
            </c:ext>
          </c:extLst>
        </c:ser>
        <c:ser>
          <c:idx val="8"/>
          <c:order val="8"/>
          <c:tx>
            <c:strRef>
              <c:f>Sheet1!$A$32</c:f>
              <c:strCache>
                <c:ptCount val="1"/>
                <c:pt idx="0">
                  <c:v>DASSH</c:v>
                </c:pt>
              </c:strCache>
            </c:strRef>
          </c:tx>
          <c:spPr>
            <a:solidFill>
              <a:schemeClr val="accent2"/>
            </a:solidFill>
            <a:ln>
              <a:noFill/>
            </a:ln>
            <a:effectLst/>
          </c:spPr>
          <c:invertIfNegative val="0"/>
          <c:dLbls>
            <c:spPr>
              <a:solidFill>
                <a:schemeClr val="accent2"/>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Sheet1!$B$23:$C$23</c:f>
              <c:strCache>
                <c:ptCount val="2"/>
                <c:pt idx="0">
                  <c:v>Yes</c:v>
                </c:pt>
                <c:pt idx="1">
                  <c:v>No</c:v>
                </c:pt>
              </c:strCache>
            </c:strRef>
          </c:cat>
          <c:val>
            <c:numRef>
              <c:f>Sheet1!$B$32:$C$32</c:f>
              <c:numCache>
                <c:formatCode>General</c:formatCode>
                <c:ptCount val="2"/>
                <c:pt idx="0">
                  <c:v>1</c:v>
                </c:pt>
              </c:numCache>
            </c:numRef>
          </c:val>
          <c:extLst>
            <c:ext xmlns:c16="http://schemas.microsoft.com/office/drawing/2014/chart" uri="{C3380CC4-5D6E-409C-BE32-E72D297353CC}">
              <c16:uniqueId val="{00000008-8761-4D19-949D-FA9FF3EB526E}"/>
            </c:ext>
          </c:extLst>
        </c:ser>
        <c:ser>
          <c:idx val="9"/>
          <c:order val="9"/>
          <c:tx>
            <c:strRef>
              <c:f>Sheet1!$A$33</c:f>
              <c:strCache>
                <c:ptCount val="1"/>
              </c:strCache>
            </c:strRef>
          </c:tx>
          <c:spPr>
            <a:solidFill>
              <a:srgbClr val="DC42B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Sheet1!$B$23:$C$23</c:f>
              <c:strCache>
                <c:ptCount val="2"/>
                <c:pt idx="0">
                  <c:v>Yes</c:v>
                </c:pt>
                <c:pt idx="1">
                  <c:v>No</c:v>
                </c:pt>
              </c:strCache>
            </c:strRef>
          </c:cat>
          <c:val>
            <c:numRef>
              <c:f>Sheet1!$B$33:$C$33</c:f>
              <c:numCache>
                <c:formatCode>General</c:formatCode>
                <c:ptCount val="2"/>
              </c:numCache>
            </c:numRef>
          </c:val>
          <c:extLst>
            <c:ext xmlns:c16="http://schemas.microsoft.com/office/drawing/2014/chart" uri="{C3380CC4-5D6E-409C-BE32-E72D297353CC}">
              <c16:uniqueId val="{00000009-8761-4D19-949D-FA9FF3EB526E}"/>
            </c:ext>
          </c:extLst>
        </c:ser>
        <c:dLbls>
          <c:dLblPos val="ctr"/>
          <c:showLegendKey val="0"/>
          <c:showVal val="1"/>
          <c:showCatName val="0"/>
          <c:showSerName val="0"/>
          <c:showPercent val="0"/>
          <c:showBubbleSize val="0"/>
        </c:dLbls>
        <c:gapWidth val="150"/>
        <c:overlap val="100"/>
        <c:axId val="568290512"/>
        <c:axId val="568288216"/>
      </c:barChart>
      <c:catAx>
        <c:axId val="568290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8288216"/>
        <c:crosses val="autoZero"/>
        <c:auto val="1"/>
        <c:lblAlgn val="ctr"/>
        <c:lblOffset val="100"/>
        <c:noMultiLvlLbl val="0"/>
      </c:catAx>
      <c:valAx>
        <c:axId val="5682882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82905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02939E1CA30D4A852C4A1FAFD67106" ma:contentTypeVersion="4" ma:contentTypeDescription="Create a new document." ma:contentTypeScope="" ma:versionID="9ab9d481e23b3d548d95f8a85f9c1459">
  <xsd:schema xmlns:xsd="http://www.w3.org/2001/XMLSchema" xmlns:xs="http://www.w3.org/2001/XMLSchema" xmlns:p="http://schemas.microsoft.com/office/2006/metadata/properties" xmlns:ns2="b360d250-efe4-43e6-b1bf-c02003fb5213" targetNamespace="http://schemas.microsoft.com/office/2006/metadata/properties" ma:root="true" ma:fieldsID="96cd1728ad7702e616bef61e4334180d" ns2:_="">
    <xsd:import namespace="b360d250-efe4-43e6-b1bf-c02003fb52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60d250-efe4-43e6-b1bf-c02003fb52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F85283-F9D8-43CB-B6A2-E4332A9F38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7E86B13-E056-4EA2-9D18-461CB0BE1D4F}">
  <ds:schemaRefs>
    <ds:schemaRef ds:uri="http://schemas.microsoft.com/sharepoint/v3/contenttype/forms"/>
  </ds:schemaRefs>
</ds:datastoreItem>
</file>

<file path=customXml/itemProps3.xml><?xml version="1.0" encoding="utf-8"?>
<ds:datastoreItem xmlns:ds="http://schemas.openxmlformats.org/officeDocument/2006/customXml" ds:itemID="{6017CEC2-96E4-41D8-83EC-059DCCB4B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60d250-efe4-43e6-b1bf-c02003fb5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1071</Words>
  <Characters>6111</Characters>
  <Application>Microsoft Office Word</Application>
  <DocSecurity>0</DocSecurity>
  <Lines>50</Lines>
  <Paragraphs>14</Paragraphs>
  <ScaleCrop>false</ScaleCrop>
  <Company>NOC</Company>
  <LinksUpToDate>false</LinksUpToDate>
  <CharactersWithSpaces>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McCandliss, Robin R.</dc:creator>
  <cp:keywords/>
  <dc:description/>
  <cp:lastModifiedBy>McCandliss, Robin R.</cp:lastModifiedBy>
  <cp:revision>9</cp:revision>
  <dcterms:created xsi:type="dcterms:W3CDTF">2021-04-20T08:50:00Z</dcterms:created>
  <dcterms:modified xsi:type="dcterms:W3CDTF">2021-04-23T14:31:00Z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0x0101006A02939E1CA30D4A852C4A1FAFD67106</vt:lpwstr>
  </property>
</Properties>
</file>