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506185" w14:textId="77777777" w:rsidR="008040F9" w:rsidRDefault="008040F9">
      <w:pPr>
        <w:rPr>
          <w:rFonts w:asciiTheme="majorHAnsi" w:eastAsia="Times New Roman" w:hAnsiTheme="majorHAnsi" w:cstheme="majorBidi"/>
          <w:spacing w:val="-10"/>
          <w:kern w:val="28"/>
          <w:sz w:val="56"/>
          <w:szCs w:val="56"/>
          <w:lang w:eastAsia="en-GB"/>
        </w:rPr>
      </w:pPr>
    </w:p>
    <w:tbl>
      <w:tblPr>
        <w:tblStyle w:val="TableGrid"/>
        <w:tblW w:w="85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8" w:type="dxa"/>
          <w:right w:w="78" w:type="dxa"/>
        </w:tblCellMar>
        <w:tblLook w:val="04A0" w:firstRow="1" w:lastRow="0" w:firstColumn="1" w:lastColumn="0" w:noHBand="0" w:noVBand="1"/>
      </w:tblPr>
      <w:tblGrid>
        <w:gridCol w:w="4256"/>
        <w:gridCol w:w="4256"/>
      </w:tblGrid>
      <w:tr w:rsidR="004759F1" w14:paraId="037289F3" w14:textId="77777777" w:rsidTr="007E312A">
        <w:tc>
          <w:tcPr>
            <w:tcW w:w="4256" w:type="dxa"/>
            <w:tcBorders>
              <w:top w:val="single" w:sz="2" w:space="0" w:color="000000"/>
              <w:left w:val="single" w:sz="2" w:space="0" w:color="000000"/>
              <w:bottom w:val="single" w:sz="2" w:space="0" w:color="000000"/>
              <w:right w:val="single" w:sz="2" w:space="0" w:color="000000"/>
            </w:tcBorders>
            <w:hideMark/>
          </w:tcPr>
          <w:p w14:paraId="439C1135" w14:textId="414F375A" w:rsidR="004759F1" w:rsidRDefault="004759F1" w:rsidP="007E312A">
            <w:pPr>
              <w:spacing w:after="60"/>
              <w:rPr>
                <w:rFonts w:ascii="Arial" w:hAnsi="Arial" w:cs="Arial"/>
                <w:b/>
                <w:sz w:val="24"/>
                <w:szCs w:val="24"/>
              </w:rPr>
            </w:pPr>
            <w:bookmarkStart w:id="0" w:name="_Hlk50995593"/>
            <w:r>
              <w:rPr>
                <w:rFonts w:cstheme="minorHAnsi"/>
                <w:b/>
                <w:sz w:val="48"/>
                <w:szCs w:val="48"/>
              </w:rPr>
              <w:br w:type="page"/>
            </w:r>
            <w:r>
              <w:rPr>
                <w:rFonts w:cstheme="minorHAnsi"/>
                <w:b/>
                <w:sz w:val="48"/>
                <w:szCs w:val="48"/>
              </w:rPr>
              <w:br w:type="page"/>
            </w:r>
            <w:r>
              <w:rPr>
                <w:rFonts w:ascii="Arial" w:hAnsi="Arial"/>
                <w:b/>
                <w:sz w:val="48"/>
                <w:szCs w:val="48"/>
              </w:rPr>
              <w:br w:type="page"/>
            </w:r>
            <w:r>
              <w:rPr>
                <w:rFonts w:ascii="Arial" w:hAnsi="Arial" w:cs="Arial"/>
                <w:b/>
                <w:sz w:val="24"/>
                <w:szCs w:val="24"/>
              </w:rPr>
              <w:t xml:space="preserve">MEDIN </w:t>
            </w:r>
            <w:r w:rsidR="00AE3924">
              <w:rPr>
                <w:rFonts w:ascii="Arial" w:hAnsi="Arial" w:cs="Arial"/>
                <w:b/>
                <w:sz w:val="24"/>
                <w:szCs w:val="24"/>
              </w:rPr>
              <w:t>Joint Working Group</w:t>
            </w:r>
            <w:r>
              <w:rPr>
                <w:rFonts w:ascii="Arial" w:hAnsi="Arial" w:cs="Arial"/>
                <w:b/>
                <w:sz w:val="24"/>
                <w:szCs w:val="24"/>
              </w:rPr>
              <w:t xml:space="preserve"> Meeting</w:t>
            </w:r>
          </w:p>
          <w:p w14:paraId="554CEA3B" w14:textId="263B7DDA" w:rsidR="004759F1" w:rsidRDefault="00AE3924" w:rsidP="007E312A">
            <w:pPr>
              <w:spacing w:after="60"/>
              <w:rPr>
                <w:rFonts w:ascii="Arial" w:hAnsi="Arial" w:cs="Arial"/>
                <w:b/>
                <w:sz w:val="24"/>
                <w:szCs w:val="24"/>
              </w:rPr>
            </w:pPr>
            <w:r>
              <w:rPr>
                <w:rFonts w:ascii="Arial" w:hAnsi="Arial" w:cs="Arial"/>
                <w:b/>
                <w:sz w:val="24"/>
                <w:szCs w:val="24"/>
              </w:rPr>
              <w:t xml:space="preserve">December </w:t>
            </w:r>
            <w:r w:rsidR="004759F1">
              <w:rPr>
                <w:rFonts w:ascii="Arial" w:hAnsi="Arial" w:cs="Arial"/>
                <w:b/>
                <w:sz w:val="24"/>
                <w:szCs w:val="24"/>
              </w:rPr>
              <w:t>2021</w:t>
            </w:r>
          </w:p>
        </w:tc>
        <w:tc>
          <w:tcPr>
            <w:tcW w:w="4256" w:type="dxa"/>
            <w:tcBorders>
              <w:top w:val="single" w:sz="2" w:space="0" w:color="000000"/>
              <w:left w:val="single" w:sz="2" w:space="0" w:color="000000"/>
              <w:bottom w:val="single" w:sz="2" w:space="0" w:color="000000"/>
              <w:right w:val="single" w:sz="2" w:space="0" w:color="000000"/>
            </w:tcBorders>
            <w:hideMark/>
          </w:tcPr>
          <w:p w14:paraId="02C2BA52" w14:textId="2FA0E062" w:rsidR="004759F1" w:rsidRDefault="004759F1" w:rsidP="007E312A">
            <w:pPr>
              <w:spacing w:after="60"/>
              <w:rPr>
                <w:rFonts w:ascii="Arial" w:hAnsi="Arial" w:cs="Arial"/>
                <w:b/>
                <w:sz w:val="24"/>
                <w:szCs w:val="24"/>
              </w:rPr>
            </w:pPr>
            <w:r>
              <w:rPr>
                <w:rFonts w:ascii="Arial" w:hAnsi="Arial" w:cs="Arial"/>
                <w:b/>
                <w:sz w:val="24"/>
                <w:szCs w:val="24"/>
              </w:rPr>
              <w:t>Paper P</w:t>
            </w:r>
            <w:r w:rsidR="00B619E5">
              <w:rPr>
                <w:rFonts w:ascii="Arial" w:hAnsi="Arial" w:cs="Arial"/>
                <w:b/>
                <w:sz w:val="24"/>
                <w:szCs w:val="24"/>
              </w:rPr>
              <w:t>2</w:t>
            </w:r>
          </w:p>
        </w:tc>
      </w:tr>
      <w:tr w:rsidR="004759F1" w14:paraId="4D0B0143" w14:textId="77777777" w:rsidTr="007E312A">
        <w:tc>
          <w:tcPr>
            <w:tcW w:w="4256" w:type="dxa"/>
            <w:tcBorders>
              <w:top w:val="single" w:sz="2" w:space="0" w:color="000000"/>
              <w:left w:val="single" w:sz="2" w:space="0" w:color="000000"/>
              <w:bottom w:val="single" w:sz="2" w:space="0" w:color="000000"/>
              <w:right w:val="single" w:sz="2" w:space="0" w:color="000000"/>
            </w:tcBorders>
            <w:hideMark/>
          </w:tcPr>
          <w:p w14:paraId="5C22DE8F" w14:textId="77777777" w:rsidR="004759F1" w:rsidRDefault="004759F1" w:rsidP="007E312A">
            <w:pPr>
              <w:spacing w:after="60"/>
              <w:rPr>
                <w:rFonts w:ascii="Arial" w:hAnsi="Arial" w:cs="Arial"/>
                <w:b/>
                <w:sz w:val="24"/>
                <w:szCs w:val="24"/>
              </w:rPr>
            </w:pPr>
            <w:r>
              <w:rPr>
                <w:rFonts w:ascii="Arial" w:hAnsi="Arial" w:cs="Arial"/>
                <w:b/>
                <w:sz w:val="24"/>
                <w:szCs w:val="24"/>
              </w:rPr>
              <w:t>Discussion Paper</w:t>
            </w:r>
          </w:p>
        </w:tc>
        <w:tc>
          <w:tcPr>
            <w:tcW w:w="4256" w:type="dxa"/>
            <w:tcBorders>
              <w:top w:val="single" w:sz="2" w:space="0" w:color="000000"/>
              <w:left w:val="single" w:sz="2" w:space="0" w:color="000000"/>
              <w:bottom w:val="single" w:sz="2" w:space="0" w:color="000000"/>
              <w:right w:val="single" w:sz="2" w:space="0" w:color="000000"/>
            </w:tcBorders>
            <w:hideMark/>
          </w:tcPr>
          <w:p w14:paraId="40C0F605" w14:textId="233E827D" w:rsidR="004759F1" w:rsidRDefault="004759F1" w:rsidP="007E312A">
            <w:pPr>
              <w:spacing w:after="60"/>
              <w:rPr>
                <w:sz w:val="24"/>
                <w:szCs w:val="24"/>
              </w:rPr>
            </w:pPr>
            <w:r>
              <w:rPr>
                <w:sz w:val="24"/>
                <w:szCs w:val="24"/>
              </w:rPr>
              <w:t>This document is the MEDIN Annual Report for 2020-21</w:t>
            </w:r>
            <w:r w:rsidR="00AE3924">
              <w:rPr>
                <w:sz w:val="24"/>
                <w:szCs w:val="24"/>
              </w:rPr>
              <w:t>, which has now been approved by the MEDIN Sponsors’ Board</w:t>
            </w:r>
            <w:r>
              <w:rPr>
                <w:sz w:val="24"/>
                <w:szCs w:val="24"/>
              </w:rPr>
              <w:t xml:space="preserve">. </w:t>
            </w:r>
          </w:p>
          <w:p w14:paraId="5FC8EE82" w14:textId="357FCA95" w:rsidR="004759F1" w:rsidRDefault="004759F1" w:rsidP="00AE3924">
            <w:pPr>
              <w:spacing w:after="60"/>
              <w:rPr>
                <w:sz w:val="24"/>
                <w:szCs w:val="24"/>
              </w:rPr>
            </w:pPr>
            <w:r>
              <w:rPr>
                <w:sz w:val="24"/>
                <w:szCs w:val="24"/>
              </w:rPr>
              <w:t xml:space="preserve">The </w:t>
            </w:r>
            <w:r w:rsidR="00AE3924">
              <w:rPr>
                <w:sz w:val="24"/>
                <w:szCs w:val="24"/>
              </w:rPr>
              <w:t xml:space="preserve">MEDIN Working Groups are thanked for their contributions towards MEDIN’s progress in 2020-21 and are asked to share the report with their colleagues. </w:t>
            </w:r>
          </w:p>
          <w:p w14:paraId="4DEAEE98" w14:textId="48D00A05" w:rsidR="00AE3924" w:rsidRDefault="00AE3924" w:rsidP="00AE3924">
            <w:pPr>
              <w:spacing w:after="60"/>
              <w:rPr>
                <w:sz w:val="24"/>
                <w:szCs w:val="24"/>
              </w:rPr>
            </w:pPr>
          </w:p>
          <w:p w14:paraId="701D429F" w14:textId="3B088682" w:rsidR="00AE3924" w:rsidRDefault="00AE3924" w:rsidP="00AE3924">
            <w:pPr>
              <w:spacing w:after="60"/>
              <w:rPr>
                <w:sz w:val="24"/>
                <w:szCs w:val="24"/>
              </w:rPr>
            </w:pPr>
            <w:r>
              <w:rPr>
                <w:sz w:val="24"/>
                <w:szCs w:val="24"/>
              </w:rPr>
              <w:t xml:space="preserve">In the meeting there will be an opportunity to share opinions and ask questions about the report. Suggestions on how to improve future reports are always welcome.  </w:t>
            </w:r>
          </w:p>
          <w:p w14:paraId="45AB05D1" w14:textId="2D94D229" w:rsidR="004759F1" w:rsidRDefault="004759F1" w:rsidP="007E312A">
            <w:pPr>
              <w:spacing w:after="60"/>
              <w:rPr>
                <w:rFonts w:ascii="Times New Roman" w:hAnsi="Times New Roman" w:cs="Times New Roman"/>
                <w:sz w:val="24"/>
                <w:szCs w:val="24"/>
              </w:rPr>
            </w:pPr>
          </w:p>
        </w:tc>
      </w:tr>
      <w:bookmarkEnd w:id="0"/>
    </w:tbl>
    <w:p w14:paraId="08BA0CF4" w14:textId="384C1798" w:rsidR="004759F1" w:rsidRDefault="004759F1" w:rsidP="00575D34">
      <w:pPr>
        <w:pStyle w:val="Title"/>
        <w:rPr>
          <w:rFonts w:eastAsia="Times New Roman"/>
          <w:lang w:eastAsia="en-GB"/>
        </w:rPr>
      </w:pPr>
    </w:p>
    <w:p w14:paraId="5A3200DA" w14:textId="77777777" w:rsidR="004759F1" w:rsidRDefault="004759F1">
      <w:pPr>
        <w:rPr>
          <w:rFonts w:asciiTheme="majorHAnsi" w:eastAsia="Times New Roman" w:hAnsiTheme="majorHAnsi" w:cstheme="majorBidi"/>
          <w:spacing w:val="-10"/>
          <w:kern w:val="28"/>
          <w:sz w:val="56"/>
          <w:szCs w:val="56"/>
          <w:lang w:eastAsia="en-GB"/>
        </w:rPr>
      </w:pPr>
      <w:r>
        <w:rPr>
          <w:rFonts w:eastAsia="Times New Roman"/>
          <w:lang w:eastAsia="en-GB"/>
        </w:rPr>
        <w:br w:type="page"/>
      </w:r>
    </w:p>
    <w:p w14:paraId="32CE8835" w14:textId="77777777" w:rsidR="00575D34" w:rsidRDefault="00575D34" w:rsidP="00575D34">
      <w:pPr>
        <w:pStyle w:val="Title"/>
        <w:rPr>
          <w:rFonts w:eastAsia="Times New Roman"/>
          <w:lang w:eastAsia="en-GB"/>
        </w:rPr>
      </w:pPr>
    </w:p>
    <w:p w14:paraId="648F93C0" w14:textId="77777777" w:rsidR="00575D34" w:rsidRPr="00575D34" w:rsidRDefault="00575D34" w:rsidP="00575D34">
      <w:pPr>
        <w:pStyle w:val="IntenseQuote"/>
        <w:rPr>
          <w:i w:val="0"/>
          <w:color w:val="16174E"/>
          <w:sz w:val="96"/>
          <w:szCs w:val="96"/>
          <w:lang w:eastAsia="en-GB"/>
        </w:rPr>
      </w:pPr>
      <w:r w:rsidRPr="00CE473B">
        <w:rPr>
          <w:rFonts w:cstheme="minorHAnsi"/>
          <w:noProof/>
          <w:lang w:eastAsia="en-GB"/>
        </w:rPr>
        <w:drawing>
          <wp:inline distT="0" distB="0" distL="0" distR="0" wp14:anchorId="3AFCE923" wp14:editId="1388A62E">
            <wp:extent cx="5645888" cy="1903228"/>
            <wp:effectExtent l="0" t="0" r="0" b="0"/>
            <wp:docPr id="6" name="Picture 2" descr="Medin_Logo_RGB"/>
            <wp:cNvGraphicFramePr/>
            <a:graphic xmlns:a="http://schemas.openxmlformats.org/drawingml/2006/main">
              <a:graphicData uri="http://schemas.openxmlformats.org/drawingml/2006/picture">
                <pic:pic xmlns:pic="http://schemas.openxmlformats.org/drawingml/2006/picture">
                  <pic:nvPicPr>
                    <pic:cNvPr id="2" name="Picture 2" descr="Medin_Logo_RGB"/>
                    <pic:cNvPicPr/>
                  </pic:nvPicPr>
                  <pic:blipFill>
                    <a:blip r:embed="rId8" cstate="print"/>
                    <a:srcRect/>
                    <a:stretch>
                      <a:fillRect/>
                    </a:stretch>
                  </pic:blipFill>
                  <pic:spPr bwMode="auto">
                    <a:xfrm>
                      <a:off x="0" y="0"/>
                      <a:ext cx="5645888" cy="1903228"/>
                    </a:xfrm>
                    <a:prstGeom prst="rect">
                      <a:avLst/>
                    </a:prstGeom>
                    <a:noFill/>
                  </pic:spPr>
                </pic:pic>
              </a:graphicData>
            </a:graphic>
          </wp:inline>
        </w:drawing>
      </w:r>
      <w:r w:rsidRPr="00575D34">
        <w:rPr>
          <w:i w:val="0"/>
          <w:color w:val="16174E"/>
          <w:sz w:val="96"/>
          <w:szCs w:val="96"/>
          <w:lang w:eastAsia="en-GB"/>
        </w:rPr>
        <w:t>Annual Report</w:t>
      </w:r>
    </w:p>
    <w:p w14:paraId="732425E8" w14:textId="77777777" w:rsidR="00575D34" w:rsidRPr="00575D34" w:rsidRDefault="00575D34" w:rsidP="00575D34">
      <w:pPr>
        <w:pStyle w:val="IntenseQuote"/>
        <w:rPr>
          <w:i w:val="0"/>
          <w:color w:val="16174E"/>
          <w:sz w:val="96"/>
          <w:szCs w:val="96"/>
          <w:lang w:eastAsia="en-GB"/>
        </w:rPr>
      </w:pPr>
      <w:r w:rsidRPr="00575D34">
        <w:rPr>
          <w:i w:val="0"/>
          <w:color w:val="16174E"/>
          <w:sz w:val="96"/>
          <w:szCs w:val="96"/>
          <w:lang w:eastAsia="en-GB"/>
        </w:rPr>
        <w:t>20</w:t>
      </w:r>
      <w:r w:rsidR="00A40832">
        <w:rPr>
          <w:i w:val="0"/>
          <w:color w:val="16174E"/>
          <w:sz w:val="96"/>
          <w:szCs w:val="96"/>
          <w:lang w:eastAsia="en-GB"/>
        </w:rPr>
        <w:t>20</w:t>
      </w:r>
      <w:r w:rsidRPr="00575D34">
        <w:rPr>
          <w:i w:val="0"/>
          <w:color w:val="16174E"/>
          <w:sz w:val="96"/>
          <w:szCs w:val="96"/>
          <w:lang w:eastAsia="en-GB"/>
        </w:rPr>
        <w:t>-202</w:t>
      </w:r>
      <w:r w:rsidR="00A40832">
        <w:rPr>
          <w:i w:val="0"/>
          <w:color w:val="16174E"/>
          <w:sz w:val="96"/>
          <w:szCs w:val="96"/>
          <w:lang w:eastAsia="en-GB"/>
        </w:rPr>
        <w:t>1</w:t>
      </w:r>
    </w:p>
    <w:p w14:paraId="4CCF2A78" w14:textId="77777777" w:rsidR="00575D34" w:rsidRDefault="00575D34" w:rsidP="00575D34">
      <w:pPr>
        <w:pStyle w:val="Title"/>
        <w:rPr>
          <w:rFonts w:eastAsia="Times New Roman"/>
          <w:lang w:eastAsia="en-GB"/>
        </w:rPr>
      </w:pPr>
    </w:p>
    <w:p w14:paraId="429D1ABB" w14:textId="77777777" w:rsidR="006F053D" w:rsidRDefault="006F053D" w:rsidP="006F053D">
      <w:pPr>
        <w:rPr>
          <w:lang w:eastAsia="en-GB"/>
        </w:rPr>
      </w:pPr>
    </w:p>
    <w:p w14:paraId="2017494F" w14:textId="77777777" w:rsidR="00801EA5" w:rsidRDefault="00801EA5" w:rsidP="006F053D">
      <w:pPr>
        <w:rPr>
          <w:lang w:eastAsia="en-GB"/>
        </w:rPr>
      </w:pPr>
    </w:p>
    <w:p w14:paraId="38641937" w14:textId="77777777" w:rsidR="006F053D" w:rsidRPr="006F053D" w:rsidRDefault="006F053D" w:rsidP="006F053D">
      <w:pPr>
        <w:rPr>
          <w:lang w:eastAsia="en-GB"/>
        </w:rPr>
      </w:pPr>
    </w:p>
    <w:p w14:paraId="732831B0" w14:textId="77777777" w:rsidR="00642BAA" w:rsidRDefault="003D513E" w:rsidP="006F053D">
      <w:pPr>
        <w:jc w:val="center"/>
        <w:rPr>
          <w:rFonts w:eastAsia="Times New Roman"/>
          <w:i/>
          <w:sz w:val="40"/>
          <w:szCs w:val="40"/>
          <w:lang w:eastAsia="en-GB"/>
        </w:rPr>
      </w:pPr>
      <w:r>
        <w:rPr>
          <w:rFonts w:eastAsia="Times New Roman"/>
          <w:i/>
          <w:sz w:val="40"/>
          <w:szCs w:val="40"/>
          <w:lang w:eastAsia="en-GB"/>
        </w:rPr>
        <w:t>‘</w:t>
      </w:r>
      <w:r w:rsidR="006F053D" w:rsidRPr="006F053D">
        <w:rPr>
          <w:rFonts w:eastAsia="Times New Roman"/>
          <w:i/>
          <w:sz w:val="40"/>
          <w:szCs w:val="40"/>
          <w:lang w:eastAsia="en-GB"/>
        </w:rPr>
        <w:t>measure once, use many times</w:t>
      </w:r>
      <w:r>
        <w:rPr>
          <w:rFonts w:eastAsia="Times New Roman"/>
          <w:i/>
          <w:sz w:val="40"/>
          <w:szCs w:val="40"/>
          <w:lang w:eastAsia="en-GB"/>
        </w:rPr>
        <w:t>’</w:t>
      </w:r>
    </w:p>
    <w:p w14:paraId="68071D8D" w14:textId="77777777" w:rsidR="008040F9" w:rsidRDefault="008040F9">
      <w:pPr>
        <w:rPr>
          <w:rFonts w:asciiTheme="majorHAnsi" w:eastAsia="Times New Roman" w:hAnsiTheme="majorHAnsi" w:cstheme="majorBidi"/>
          <w:i/>
          <w:spacing w:val="-10"/>
          <w:kern w:val="28"/>
          <w:sz w:val="40"/>
          <w:szCs w:val="40"/>
          <w:lang w:eastAsia="en-GB"/>
        </w:rPr>
      </w:pPr>
      <w:r>
        <w:rPr>
          <w:rFonts w:asciiTheme="majorHAnsi" w:eastAsia="Times New Roman" w:hAnsiTheme="majorHAnsi" w:cstheme="majorBidi"/>
          <w:i/>
          <w:spacing w:val="-10"/>
          <w:kern w:val="28"/>
          <w:sz w:val="40"/>
          <w:szCs w:val="40"/>
          <w:lang w:eastAsia="en-GB"/>
        </w:rPr>
        <w:br w:type="page"/>
      </w:r>
    </w:p>
    <w:p w14:paraId="7405AAB9" w14:textId="77777777" w:rsidR="00575D34" w:rsidRDefault="00642BAA" w:rsidP="00575D34">
      <w:pPr>
        <w:pStyle w:val="Title"/>
        <w:rPr>
          <w:rFonts w:eastAsia="Times New Roman"/>
          <w:lang w:eastAsia="en-GB"/>
        </w:rPr>
      </w:pPr>
      <w:r>
        <w:rPr>
          <w:rFonts w:eastAsia="Times New Roman"/>
          <w:noProof/>
          <w:lang w:eastAsia="en-GB"/>
        </w:rPr>
        <w:lastRenderedPageBreak/>
        <w:drawing>
          <wp:inline distT="0" distB="0" distL="0" distR="0" wp14:anchorId="7C5BF611" wp14:editId="3C61447F">
            <wp:extent cx="6600825" cy="1885950"/>
            <wp:effectExtent l="38100" t="38100" r="47625" b="571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287CB849" w14:textId="363A064A" w:rsidR="00575D34" w:rsidRDefault="00350ADA" w:rsidP="006B42D2">
      <w:pPr>
        <w:rPr>
          <w:rFonts w:eastAsia="Times New Roman"/>
          <w:lang w:eastAsia="en-GB"/>
        </w:rPr>
      </w:pPr>
      <w:r>
        <w:rPr>
          <w:noProof/>
          <w:lang w:eastAsia="en-GB"/>
        </w:rPr>
        <w:drawing>
          <wp:inline distT="0" distB="0" distL="0" distR="0" wp14:anchorId="122B7504" wp14:editId="058CDE7B">
            <wp:extent cx="6858000" cy="6991350"/>
            <wp:effectExtent l="0" t="38100" r="19050" b="5715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3B67DF1" w14:textId="77777777" w:rsidR="00575D34" w:rsidRDefault="006C53E5" w:rsidP="00575D34">
      <w:pPr>
        <w:shd w:val="clear" w:color="auto" w:fill="FFFFFF"/>
        <w:spacing w:after="0" w:line="240" w:lineRule="auto"/>
        <w:rPr>
          <w:rFonts w:ascii="Calibri" w:eastAsia="Times New Roman" w:hAnsi="Calibri" w:cs="Calibri"/>
          <w:color w:val="323130"/>
          <w:lang w:eastAsia="en-GB"/>
        </w:rPr>
      </w:pPr>
      <w:r>
        <w:rPr>
          <w:rFonts w:eastAsia="Times New Roman"/>
          <w:noProof/>
          <w:lang w:eastAsia="en-GB"/>
        </w:rPr>
        <w:lastRenderedPageBreak/>
        <w:drawing>
          <wp:inline distT="0" distB="0" distL="0" distR="0" wp14:anchorId="58BA99C3" wp14:editId="779A9718">
            <wp:extent cx="6600825" cy="1885950"/>
            <wp:effectExtent l="19050" t="38100" r="47625" b="571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B0A73F3" w14:textId="106935F9" w:rsidR="00521388" w:rsidRDefault="00EB4903" w:rsidP="00DB6605">
      <w:pPr>
        <w:pStyle w:val="NumPara"/>
        <w:numPr>
          <w:ilvl w:val="0"/>
          <w:numId w:val="0"/>
        </w:numPr>
        <w:jc w:val="left"/>
        <w:rPr>
          <w:rFonts w:asciiTheme="minorHAnsi" w:hAnsiTheme="minorHAnsi" w:cstheme="minorHAnsi"/>
          <w:szCs w:val="22"/>
        </w:rPr>
      </w:pPr>
      <w:r>
        <w:rPr>
          <w:rFonts w:asciiTheme="minorHAnsi" w:hAnsiTheme="minorHAnsi" w:cstheme="minorHAnsi"/>
          <w:szCs w:val="22"/>
        </w:rPr>
        <w:t>2020-21</w:t>
      </w:r>
      <w:r w:rsidR="00D71CDA" w:rsidRPr="002D7104">
        <w:rPr>
          <w:rFonts w:asciiTheme="minorHAnsi" w:hAnsiTheme="minorHAnsi" w:cstheme="minorHAnsi"/>
          <w:szCs w:val="22"/>
        </w:rPr>
        <w:t xml:space="preserve"> was the </w:t>
      </w:r>
      <w:r w:rsidR="00F57F95">
        <w:rPr>
          <w:rFonts w:asciiTheme="minorHAnsi" w:hAnsiTheme="minorHAnsi" w:cstheme="minorHAnsi"/>
          <w:szCs w:val="22"/>
        </w:rPr>
        <w:t>second</w:t>
      </w:r>
      <w:r w:rsidR="00F57F95" w:rsidRPr="002D7104">
        <w:rPr>
          <w:rFonts w:asciiTheme="minorHAnsi" w:hAnsiTheme="minorHAnsi" w:cstheme="minorHAnsi"/>
          <w:szCs w:val="22"/>
        </w:rPr>
        <w:t xml:space="preserve"> </w:t>
      </w:r>
      <w:r w:rsidR="00D71CDA" w:rsidRPr="002D7104">
        <w:rPr>
          <w:rFonts w:asciiTheme="minorHAnsi" w:hAnsiTheme="minorHAnsi" w:cstheme="minorHAnsi"/>
          <w:szCs w:val="22"/>
        </w:rPr>
        <w:t xml:space="preserve">year of the Marine Environmental Data and Information Network’s (MEDIN) </w:t>
      </w:r>
      <w:r w:rsidR="00BC3732" w:rsidRPr="002D7104">
        <w:rPr>
          <w:rFonts w:asciiTheme="minorHAnsi" w:hAnsiTheme="minorHAnsi" w:cstheme="minorHAnsi"/>
          <w:szCs w:val="22"/>
        </w:rPr>
        <w:t>ambitious</w:t>
      </w:r>
      <w:r w:rsidR="00D71CDA" w:rsidRPr="002D7104">
        <w:rPr>
          <w:rFonts w:asciiTheme="minorHAnsi" w:hAnsiTheme="minorHAnsi" w:cstheme="minorHAnsi"/>
          <w:szCs w:val="22"/>
        </w:rPr>
        <w:t xml:space="preserve"> five</w:t>
      </w:r>
      <w:r w:rsidR="00BC3732" w:rsidRPr="002D7104">
        <w:rPr>
          <w:rFonts w:asciiTheme="minorHAnsi" w:hAnsiTheme="minorHAnsi" w:cstheme="minorHAnsi"/>
          <w:szCs w:val="22"/>
        </w:rPr>
        <w:t>-</w:t>
      </w:r>
      <w:r w:rsidR="00D71CDA" w:rsidRPr="002D7104">
        <w:rPr>
          <w:rFonts w:asciiTheme="minorHAnsi" w:hAnsiTheme="minorHAnsi" w:cstheme="minorHAnsi"/>
          <w:szCs w:val="22"/>
        </w:rPr>
        <w:t xml:space="preserve">year (2019-24) </w:t>
      </w:r>
      <w:hyperlink r:id="rId24" w:history="1">
        <w:r w:rsidR="00D71CDA" w:rsidRPr="00DB11F8">
          <w:rPr>
            <w:rStyle w:val="Hyperlink"/>
            <w:rFonts w:asciiTheme="minorHAnsi" w:hAnsiTheme="minorHAnsi" w:cstheme="minorHAnsi"/>
            <w:szCs w:val="22"/>
          </w:rPr>
          <w:t>Business Plan</w:t>
        </w:r>
      </w:hyperlink>
      <w:r w:rsidR="00D71CDA" w:rsidRPr="002D7104">
        <w:rPr>
          <w:rFonts w:asciiTheme="minorHAnsi" w:hAnsiTheme="minorHAnsi" w:cstheme="minorHAnsi"/>
          <w:szCs w:val="22"/>
        </w:rPr>
        <w:t xml:space="preserve">. MEDIN </w:t>
      </w:r>
      <w:r w:rsidR="00194A81">
        <w:rPr>
          <w:rFonts w:asciiTheme="minorHAnsi" w:hAnsiTheme="minorHAnsi" w:cstheme="minorHAnsi"/>
          <w:szCs w:val="22"/>
        </w:rPr>
        <w:t>is strengthening and evolving as the leading authority on the management of marine environmental data</w:t>
      </w:r>
      <w:r w:rsidR="00676A87">
        <w:rPr>
          <w:rFonts w:asciiTheme="minorHAnsi" w:hAnsiTheme="minorHAnsi" w:cstheme="minorHAnsi"/>
          <w:szCs w:val="22"/>
        </w:rPr>
        <w:t xml:space="preserve">, </w:t>
      </w:r>
      <w:r w:rsidR="00194A81">
        <w:rPr>
          <w:rFonts w:asciiTheme="minorHAnsi" w:hAnsiTheme="minorHAnsi" w:cstheme="minorHAnsi"/>
          <w:szCs w:val="22"/>
        </w:rPr>
        <w:t>albeit</w:t>
      </w:r>
      <w:r w:rsidR="00396696">
        <w:rPr>
          <w:rFonts w:asciiTheme="minorHAnsi" w:hAnsiTheme="minorHAnsi" w:cstheme="minorHAnsi"/>
          <w:szCs w:val="22"/>
        </w:rPr>
        <w:t xml:space="preserve"> </w:t>
      </w:r>
      <w:r w:rsidR="00D71CDA" w:rsidRPr="002D7104">
        <w:rPr>
          <w:rFonts w:asciiTheme="minorHAnsi" w:hAnsiTheme="minorHAnsi" w:cstheme="minorHAnsi"/>
          <w:szCs w:val="22"/>
        </w:rPr>
        <w:t xml:space="preserve">with a reduced level of funding, </w:t>
      </w:r>
      <w:r w:rsidR="00194A81">
        <w:rPr>
          <w:rFonts w:asciiTheme="minorHAnsi" w:hAnsiTheme="minorHAnsi" w:cstheme="minorHAnsi"/>
          <w:szCs w:val="22"/>
        </w:rPr>
        <w:t xml:space="preserve">down </w:t>
      </w:r>
      <w:r w:rsidR="00D71CDA" w:rsidRPr="002D7104">
        <w:rPr>
          <w:rFonts w:asciiTheme="minorHAnsi" w:hAnsiTheme="minorHAnsi" w:cstheme="minorHAnsi"/>
          <w:szCs w:val="22"/>
        </w:rPr>
        <w:t xml:space="preserve">from £763K per year before 2011 to </w:t>
      </w:r>
      <w:r w:rsidR="003E7643">
        <w:rPr>
          <w:rFonts w:asciiTheme="minorHAnsi" w:hAnsiTheme="minorHAnsi" w:cstheme="minorHAnsi"/>
          <w:szCs w:val="22"/>
        </w:rPr>
        <w:t xml:space="preserve">around </w:t>
      </w:r>
      <w:r w:rsidR="00D71CDA" w:rsidRPr="002D7104">
        <w:rPr>
          <w:rFonts w:asciiTheme="minorHAnsi" w:hAnsiTheme="minorHAnsi" w:cstheme="minorHAnsi"/>
          <w:szCs w:val="22"/>
        </w:rPr>
        <w:t>£</w:t>
      </w:r>
      <w:r w:rsidR="005A431C">
        <w:rPr>
          <w:rFonts w:asciiTheme="minorHAnsi" w:hAnsiTheme="minorHAnsi" w:cstheme="minorHAnsi"/>
          <w:szCs w:val="22"/>
        </w:rPr>
        <w:t>507</w:t>
      </w:r>
      <w:r w:rsidR="005A431C" w:rsidRPr="002D7104">
        <w:rPr>
          <w:rFonts w:asciiTheme="minorHAnsi" w:hAnsiTheme="minorHAnsi" w:cstheme="minorHAnsi"/>
          <w:szCs w:val="22"/>
        </w:rPr>
        <w:t xml:space="preserve">K </w:t>
      </w:r>
      <w:r w:rsidR="00F57F95">
        <w:rPr>
          <w:rFonts w:asciiTheme="minorHAnsi" w:hAnsiTheme="minorHAnsi" w:cstheme="minorHAnsi"/>
          <w:szCs w:val="22"/>
        </w:rPr>
        <w:t>since 2019</w:t>
      </w:r>
      <w:r w:rsidR="00D71CDA" w:rsidRPr="002D7104">
        <w:rPr>
          <w:rFonts w:asciiTheme="minorHAnsi" w:hAnsiTheme="minorHAnsi" w:cstheme="minorHAnsi"/>
          <w:szCs w:val="22"/>
        </w:rPr>
        <w:t xml:space="preserve">. </w:t>
      </w:r>
      <w:r w:rsidR="00952F69">
        <w:rPr>
          <w:rFonts w:asciiTheme="minorHAnsi" w:hAnsiTheme="minorHAnsi" w:cstheme="minorHAnsi"/>
          <w:szCs w:val="22"/>
        </w:rPr>
        <w:t xml:space="preserve">This year was a turbulent one across the world with a global pandemic necessitating changes to working practices and travel.  </w:t>
      </w:r>
      <w:r w:rsidR="00FB4A2F">
        <w:rPr>
          <w:rFonts w:asciiTheme="minorHAnsi" w:hAnsiTheme="minorHAnsi" w:cstheme="minorHAnsi"/>
          <w:szCs w:val="22"/>
        </w:rPr>
        <w:t>Nevertheless, we successfully delivered the bulk of our planned work, through the commitment and hard work of our core team, our Data Archive Centres, our sponsors and all our partners.</w:t>
      </w:r>
      <w:r w:rsidR="002A62B9">
        <w:rPr>
          <w:rFonts w:asciiTheme="minorHAnsi" w:hAnsiTheme="minorHAnsi" w:cstheme="minorHAnsi"/>
          <w:szCs w:val="22"/>
        </w:rPr>
        <w:t xml:space="preserve"> </w:t>
      </w:r>
      <w:r w:rsidR="00FE7080">
        <w:rPr>
          <w:rFonts w:asciiTheme="minorHAnsi" w:hAnsiTheme="minorHAnsi" w:cstheme="minorHAnsi"/>
          <w:szCs w:val="22"/>
        </w:rPr>
        <w:t xml:space="preserve">Unsurprisingly, the main disruption </w:t>
      </w:r>
      <w:r w:rsidR="001026BA">
        <w:rPr>
          <w:rFonts w:asciiTheme="minorHAnsi" w:hAnsiTheme="minorHAnsi" w:cstheme="minorHAnsi"/>
          <w:szCs w:val="22"/>
        </w:rPr>
        <w:t xml:space="preserve">we experienced </w:t>
      </w:r>
      <w:r w:rsidR="00FE7080">
        <w:rPr>
          <w:rFonts w:asciiTheme="minorHAnsi" w:hAnsiTheme="minorHAnsi" w:cstheme="minorHAnsi"/>
          <w:szCs w:val="22"/>
        </w:rPr>
        <w:t>was to work that</w:t>
      </w:r>
      <w:r w:rsidR="00BB63B9">
        <w:rPr>
          <w:rFonts w:asciiTheme="minorHAnsi" w:hAnsiTheme="minorHAnsi" w:cstheme="minorHAnsi"/>
          <w:szCs w:val="22"/>
        </w:rPr>
        <w:t>,</w:t>
      </w:r>
      <w:r w:rsidR="00FE7080">
        <w:rPr>
          <w:rFonts w:asciiTheme="minorHAnsi" w:hAnsiTheme="minorHAnsi" w:cstheme="minorHAnsi"/>
          <w:szCs w:val="22"/>
        </w:rPr>
        <w:t xml:space="preserve"> </w:t>
      </w:r>
      <w:r w:rsidR="00BB63B9">
        <w:rPr>
          <w:rFonts w:asciiTheme="minorHAnsi" w:hAnsiTheme="minorHAnsi" w:cstheme="minorHAnsi"/>
          <w:szCs w:val="22"/>
        </w:rPr>
        <w:t>in previous years,</w:t>
      </w:r>
      <w:r w:rsidR="001026BA">
        <w:rPr>
          <w:rFonts w:asciiTheme="minorHAnsi" w:hAnsiTheme="minorHAnsi" w:cstheme="minorHAnsi"/>
          <w:szCs w:val="22"/>
        </w:rPr>
        <w:t xml:space="preserve"> </w:t>
      </w:r>
      <w:r w:rsidR="00FE7080">
        <w:rPr>
          <w:rFonts w:asciiTheme="minorHAnsi" w:hAnsiTheme="minorHAnsi" w:cstheme="minorHAnsi"/>
          <w:szCs w:val="22"/>
        </w:rPr>
        <w:t>involve</w:t>
      </w:r>
      <w:r w:rsidR="001026BA">
        <w:rPr>
          <w:rFonts w:asciiTheme="minorHAnsi" w:hAnsiTheme="minorHAnsi" w:cstheme="minorHAnsi"/>
          <w:szCs w:val="22"/>
        </w:rPr>
        <w:t>d</w:t>
      </w:r>
      <w:r w:rsidR="00FE7080">
        <w:rPr>
          <w:rFonts w:asciiTheme="minorHAnsi" w:hAnsiTheme="minorHAnsi" w:cstheme="minorHAnsi"/>
          <w:szCs w:val="22"/>
        </w:rPr>
        <w:t xml:space="preserve"> face-to-face gatherings, such as running training workshops, </w:t>
      </w:r>
      <w:r w:rsidR="00733FBF">
        <w:rPr>
          <w:rFonts w:asciiTheme="minorHAnsi" w:hAnsiTheme="minorHAnsi" w:cstheme="minorHAnsi"/>
          <w:szCs w:val="22"/>
        </w:rPr>
        <w:t xml:space="preserve">holding meetings, and </w:t>
      </w:r>
      <w:r w:rsidR="001026BA">
        <w:rPr>
          <w:rFonts w:asciiTheme="minorHAnsi" w:hAnsiTheme="minorHAnsi" w:cstheme="minorHAnsi"/>
          <w:szCs w:val="22"/>
        </w:rPr>
        <w:t>presenting at conferences or trade fairs</w:t>
      </w:r>
      <w:r w:rsidR="00733FBF">
        <w:rPr>
          <w:rFonts w:asciiTheme="minorHAnsi" w:hAnsiTheme="minorHAnsi" w:cstheme="minorHAnsi"/>
          <w:szCs w:val="22"/>
        </w:rPr>
        <w:t xml:space="preserve">. </w:t>
      </w:r>
      <w:r w:rsidR="00BB63B9">
        <w:rPr>
          <w:rFonts w:asciiTheme="minorHAnsi" w:hAnsiTheme="minorHAnsi" w:cstheme="minorHAnsi"/>
          <w:szCs w:val="22"/>
        </w:rPr>
        <w:t xml:space="preserve">Most of these events were able to go ahead virtually, making use of a range of digital solutions to remote working. </w:t>
      </w:r>
      <w:r w:rsidR="00C61D7E">
        <w:rPr>
          <w:rFonts w:asciiTheme="minorHAnsi" w:hAnsiTheme="minorHAnsi" w:cstheme="minorHAnsi"/>
          <w:szCs w:val="22"/>
        </w:rPr>
        <w:t xml:space="preserve">We will use the experiences of 2020-21 to enhance our ability to work efficiently with all our partners across the UK. </w:t>
      </w:r>
    </w:p>
    <w:p w14:paraId="068A04DB" w14:textId="3CBDCB57" w:rsidR="00521388" w:rsidRDefault="00AD1747">
      <w:pPr>
        <w:rPr>
          <w:rFonts w:cstheme="minorHAnsi"/>
          <w:lang w:eastAsia="en-GB"/>
        </w:rPr>
      </w:pPr>
      <w:r w:rsidRPr="002D7104">
        <w:rPr>
          <w:rFonts w:cstheme="minorHAnsi"/>
        </w:rPr>
        <w:t>The 2019-24 MEDIN Business Plan was developed around 3 strategic goals</w:t>
      </w:r>
      <w:r>
        <w:rPr>
          <w:rFonts w:cstheme="minorHAnsi"/>
        </w:rPr>
        <w:t xml:space="preserve">, </w:t>
      </w:r>
      <w:r w:rsidRPr="002D7104">
        <w:rPr>
          <w:rFonts w:cstheme="minorHAnsi"/>
        </w:rPr>
        <w:t>which encompass MEDIN’s vision for all UK marine data to be Findable, Accessible, Interoperable and Reusable</w:t>
      </w:r>
      <w:r>
        <w:rPr>
          <w:rFonts w:cstheme="minorHAnsi"/>
        </w:rPr>
        <w:t xml:space="preserve"> (FAIR)</w:t>
      </w:r>
      <w:r w:rsidRPr="002D7104">
        <w:rPr>
          <w:rFonts w:cstheme="minorHAnsi"/>
        </w:rPr>
        <w:t>. MEDIN ha</w:t>
      </w:r>
      <w:r>
        <w:rPr>
          <w:rFonts w:cstheme="minorHAnsi"/>
        </w:rPr>
        <w:t>s</w:t>
      </w:r>
      <w:r w:rsidRPr="002D7104">
        <w:rPr>
          <w:rFonts w:cstheme="minorHAnsi"/>
        </w:rPr>
        <w:t xml:space="preserve"> defined </w:t>
      </w:r>
      <w:r w:rsidR="00C61D7E">
        <w:rPr>
          <w:rFonts w:cstheme="minorHAnsi"/>
        </w:rPr>
        <w:t>seven</w:t>
      </w:r>
      <w:r w:rsidRPr="002D7104">
        <w:rPr>
          <w:rFonts w:cstheme="minorHAnsi"/>
        </w:rPr>
        <w:t xml:space="preserve"> Key Performance Indicators (KPIs) based on these strategic goals.</w:t>
      </w:r>
      <w:r>
        <w:rPr>
          <w:rFonts w:cstheme="minorHAnsi"/>
        </w:rPr>
        <w:t xml:space="preserve"> </w:t>
      </w:r>
      <w:r>
        <w:rPr>
          <w:rFonts w:cstheme="minorHAnsi"/>
          <w:lang w:eastAsia="en-GB"/>
        </w:rPr>
        <w:t>2019-20</w:t>
      </w:r>
      <w:r w:rsidRPr="002D7104">
        <w:rPr>
          <w:rFonts w:cstheme="minorHAnsi"/>
          <w:lang w:eastAsia="en-GB"/>
        </w:rPr>
        <w:t xml:space="preserve"> provide</w:t>
      </w:r>
      <w:r>
        <w:rPr>
          <w:rFonts w:cstheme="minorHAnsi"/>
          <w:lang w:eastAsia="en-GB"/>
        </w:rPr>
        <w:t>d</w:t>
      </w:r>
      <w:r w:rsidRPr="002D7104">
        <w:rPr>
          <w:rFonts w:cstheme="minorHAnsi"/>
          <w:lang w:eastAsia="en-GB"/>
        </w:rPr>
        <w:t xml:space="preserve"> the baseline for these KPIs, </w:t>
      </w:r>
      <w:r>
        <w:rPr>
          <w:rFonts w:cstheme="minorHAnsi"/>
          <w:lang w:eastAsia="en-GB"/>
        </w:rPr>
        <w:t>towards which we compare the KPIs for 2020-21</w:t>
      </w:r>
      <w:r w:rsidRPr="002D7104">
        <w:rPr>
          <w:rFonts w:cstheme="minorHAnsi"/>
          <w:lang w:eastAsia="en-GB"/>
        </w:rPr>
        <w:t>.</w:t>
      </w:r>
      <w:r w:rsidR="00C61D7E">
        <w:rPr>
          <w:rFonts w:cstheme="minorHAnsi"/>
          <w:lang w:eastAsia="en-GB"/>
        </w:rPr>
        <w:t xml:space="preserve"> The KPIs are listed below.</w:t>
      </w:r>
    </w:p>
    <w:p w14:paraId="582EAB0F" w14:textId="11655237" w:rsidR="00435FA2" w:rsidRDefault="00435FA2">
      <w:pPr>
        <w:rPr>
          <w:rFonts w:eastAsia="Times New Roman" w:cstheme="minorHAnsi"/>
          <w:bCs/>
          <w:iCs/>
        </w:rPr>
      </w:pPr>
      <w:r>
        <w:rPr>
          <w:rFonts w:eastAsia="Times New Roman" w:cstheme="minorHAnsi"/>
          <w:bCs/>
          <w:iCs/>
        </w:rPr>
        <w:br w:type="page"/>
      </w:r>
    </w:p>
    <w:tbl>
      <w:tblPr>
        <w:tblStyle w:val="TableGrid"/>
        <w:tblW w:w="10460" w:type="dxa"/>
        <w:tblBorders>
          <w:top w:val="single" w:sz="24" w:space="0" w:color="B0DFA0" w:themeColor="accent5" w:themeTint="99"/>
          <w:left w:val="single" w:sz="24" w:space="0" w:color="B0DFA0" w:themeColor="accent5" w:themeTint="99"/>
          <w:bottom w:val="single" w:sz="24" w:space="0" w:color="B0DFA0" w:themeColor="accent5" w:themeTint="99"/>
          <w:right w:val="single" w:sz="24" w:space="0" w:color="B0DFA0" w:themeColor="accent5" w:themeTint="99"/>
          <w:insideH w:val="none" w:sz="0" w:space="0" w:color="auto"/>
          <w:insideV w:val="none" w:sz="0" w:space="0" w:color="auto"/>
        </w:tblBorders>
        <w:tblLook w:val="04A0" w:firstRow="1" w:lastRow="0" w:firstColumn="1" w:lastColumn="0" w:noHBand="0" w:noVBand="1"/>
      </w:tblPr>
      <w:tblGrid>
        <w:gridCol w:w="5396"/>
        <w:gridCol w:w="13"/>
        <w:gridCol w:w="5058"/>
      </w:tblGrid>
      <w:tr w:rsidR="00DB6605" w14:paraId="41168F63" w14:textId="77777777" w:rsidTr="006C6D7E">
        <w:tc>
          <w:tcPr>
            <w:tcW w:w="10460" w:type="dxa"/>
            <w:gridSpan w:val="3"/>
            <w:tcBorders>
              <w:bottom w:val="single" w:sz="24" w:space="0" w:color="B0DFA0" w:themeColor="accent5" w:themeTint="99"/>
            </w:tcBorders>
          </w:tcPr>
          <w:p w14:paraId="77E9029F" w14:textId="77777777" w:rsidR="00DB6605" w:rsidRPr="00A82C98" w:rsidRDefault="00DB6605" w:rsidP="006C6D7E">
            <w:pPr>
              <w:spacing w:before="120" w:after="120"/>
              <w:ind w:left="57" w:right="57"/>
              <w:rPr>
                <w:rFonts w:cstheme="minorHAnsi"/>
                <w:b/>
                <w:bCs/>
                <w:color w:val="387026" w:themeColor="accent5" w:themeShade="80"/>
                <w:sz w:val="28"/>
                <w:szCs w:val="28"/>
              </w:rPr>
            </w:pPr>
            <w:r w:rsidRPr="00A82C98">
              <w:rPr>
                <w:rFonts w:cstheme="minorHAnsi"/>
                <w:b/>
                <w:bCs/>
                <w:color w:val="387026" w:themeColor="accent5" w:themeShade="80"/>
                <w:sz w:val="28"/>
                <w:szCs w:val="28"/>
              </w:rPr>
              <w:lastRenderedPageBreak/>
              <w:t xml:space="preserve">Strategic Goal A: MEDIN delivers its vision for </w:t>
            </w:r>
            <w:r w:rsidRPr="00A82C98">
              <w:rPr>
                <w:rFonts w:cstheme="minorHAnsi"/>
                <w:b/>
                <w:bCs/>
                <w:i/>
                <w:color w:val="387026" w:themeColor="accent5" w:themeShade="80"/>
                <w:sz w:val="28"/>
                <w:szCs w:val="28"/>
              </w:rPr>
              <w:t>all</w:t>
            </w:r>
            <w:r w:rsidRPr="00A82C98">
              <w:rPr>
                <w:rFonts w:cstheme="minorHAnsi"/>
                <w:b/>
                <w:bCs/>
                <w:color w:val="387026" w:themeColor="accent5" w:themeShade="80"/>
                <w:sz w:val="28"/>
                <w:szCs w:val="28"/>
              </w:rPr>
              <w:t xml:space="preserve"> of the UK marine community</w:t>
            </w:r>
            <w:r w:rsidRPr="00A82C98">
              <w:rPr>
                <w:rFonts w:cstheme="minorHAnsi"/>
                <w:bCs/>
                <w:color w:val="387026" w:themeColor="accent5" w:themeShade="80"/>
                <w:sz w:val="28"/>
                <w:szCs w:val="28"/>
              </w:rPr>
              <w:t xml:space="preserve"> </w:t>
            </w:r>
            <w:r w:rsidRPr="00A82C98">
              <w:rPr>
                <w:rFonts w:cstheme="minorHAnsi"/>
                <w:bCs/>
                <w:sz w:val="28"/>
                <w:szCs w:val="28"/>
              </w:rPr>
              <w:t>by providing tools and services beneficial across the wide spectrum of the marine data community and the full data lifecycle; ensuring widespread archiving and open access to high-quality data to enable maximum use and security and to provide integration and coordination of services.</w:t>
            </w:r>
          </w:p>
        </w:tc>
      </w:tr>
      <w:tr w:rsidR="00DB6605" w14:paraId="3DC532C4" w14:textId="77777777" w:rsidTr="006C6D7E">
        <w:tc>
          <w:tcPr>
            <w:tcW w:w="10460" w:type="dxa"/>
            <w:gridSpan w:val="3"/>
            <w:tcBorders>
              <w:top w:val="single" w:sz="24" w:space="0" w:color="B0DFA0" w:themeColor="accent5" w:themeTint="99"/>
              <w:bottom w:val="single" w:sz="24" w:space="0" w:color="B0DFA0" w:themeColor="accent5" w:themeTint="99"/>
            </w:tcBorders>
          </w:tcPr>
          <w:p w14:paraId="1987AC19" w14:textId="77777777" w:rsidR="00DB6605" w:rsidRDefault="00DB6605" w:rsidP="006C6D7E">
            <w:pPr>
              <w:spacing w:before="120" w:after="120"/>
              <w:ind w:left="57" w:right="57"/>
            </w:pPr>
            <w:r>
              <w:t xml:space="preserve">We have 2 Key Performance Indicators which measure progress against this goal: </w:t>
            </w:r>
          </w:p>
          <w:p w14:paraId="04E1FA7A" w14:textId="77777777" w:rsidR="00DB6605" w:rsidRDefault="00DB6605" w:rsidP="006C6D7E">
            <w:pPr>
              <w:spacing w:before="120" w:after="120"/>
              <w:ind w:left="1440" w:right="57"/>
            </w:pPr>
            <w:r>
              <w:t xml:space="preserve">KPI 1: Number of active MEDIN partners, </w:t>
            </w:r>
          </w:p>
          <w:p w14:paraId="6C52C10E" w14:textId="77777777" w:rsidR="00DB6605" w:rsidRPr="005F0DC0" w:rsidRDefault="00DB6605" w:rsidP="006C6D7E">
            <w:pPr>
              <w:spacing w:before="120" w:after="120"/>
              <w:ind w:left="1440" w:right="57"/>
            </w:pPr>
            <w:r>
              <w:t>KPI 2: Number of users of MEDIN tools and services.</w:t>
            </w:r>
          </w:p>
        </w:tc>
      </w:tr>
      <w:tr w:rsidR="00DB6605" w14:paraId="23095E1E" w14:textId="77777777" w:rsidTr="006C6D7E">
        <w:tc>
          <w:tcPr>
            <w:tcW w:w="10460" w:type="dxa"/>
            <w:gridSpan w:val="3"/>
            <w:tcBorders>
              <w:top w:val="single" w:sz="24" w:space="0" w:color="B0DFA0" w:themeColor="accent5" w:themeTint="99"/>
              <w:bottom w:val="single" w:sz="24" w:space="0" w:color="B0DFA0" w:themeColor="accent5" w:themeTint="99"/>
            </w:tcBorders>
          </w:tcPr>
          <w:p w14:paraId="51396CA2" w14:textId="77777777" w:rsidR="00DB6605" w:rsidRDefault="00DB6605" w:rsidP="006C6D7E">
            <w:pPr>
              <w:spacing w:before="120" w:after="120"/>
              <w:ind w:left="57" w:right="57"/>
            </w:pPr>
            <w:r w:rsidRPr="005F0DC0">
              <w:rPr>
                <w:b/>
                <w:color w:val="387026" w:themeColor="accent5" w:themeShade="80"/>
                <w:sz w:val="28"/>
                <w:szCs w:val="28"/>
              </w:rPr>
              <w:t>How did we perform this year?</w:t>
            </w:r>
          </w:p>
        </w:tc>
      </w:tr>
      <w:tr w:rsidR="00DB6605" w14:paraId="465346E9" w14:textId="77777777" w:rsidTr="006C6D7E">
        <w:tc>
          <w:tcPr>
            <w:tcW w:w="5499" w:type="dxa"/>
            <w:gridSpan w:val="2"/>
            <w:tcBorders>
              <w:top w:val="single" w:sz="24" w:space="0" w:color="B0DFA0" w:themeColor="accent5" w:themeTint="99"/>
              <w:bottom w:val="single" w:sz="24" w:space="0" w:color="B0DFA0" w:themeColor="accent5" w:themeTint="99"/>
              <w:right w:val="single" w:sz="24" w:space="0" w:color="B0DFA0" w:themeColor="accent5" w:themeTint="99"/>
            </w:tcBorders>
          </w:tcPr>
          <w:p w14:paraId="396C6184" w14:textId="77777777" w:rsidR="00DB6605" w:rsidRDefault="00DB6605" w:rsidP="006C6D7E">
            <w:pPr>
              <w:spacing w:before="120" w:after="120"/>
              <w:ind w:left="57" w:right="57"/>
              <w:jc w:val="center"/>
            </w:pPr>
            <w:r w:rsidRPr="005F0DC0">
              <w:rPr>
                <w:color w:val="387026" w:themeColor="accent5" w:themeShade="80"/>
                <w:sz w:val="48"/>
                <w:szCs w:val="48"/>
              </w:rPr>
              <w:t>5</w:t>
            </w:r>
            <w:r>
              <w:rPr>
                <w:color w:val="387026" w:themeColor="accent5" w:themeShade="80"/>
                <w:sz w:val="48"/>
                <w:szCs w:val="48"/>
              </w:rPr>
              <w:t>9</w:t>
            </w:r>
            <w:r w:rsidRPr="005F0DC0">
              <w:rPr>
                <w:color w:val="387026" w:themeColor="accent5" w:themeShade="80"/>
                <w:sz w:val="48"/>
                <w:szCs w:val="48"/>
              </w:rPr>
              <w:t xml:space="preserve"> </w:t>
            </w:r>
            <w:r>
              <w:rPr>
                <w:color w:val="387026" w:themeColor="accent5" w:themeShade="80"/>
                <w:sz w:val="48"/>
                <w:szCs w:val="48"/>
              </w:rPr>
              <w:t xml:space="preserve">partner </w:t>
            </w:r>
            <w:r w:rsidRPr="005F0DC0">
              <w:rPr>
                <w:color w:val="387026" w:themeColor="accent5" w:themeShade="80"/>
                <w:sz w:val="48"/>
                <w:szCs w:val="48"/>
              </w:rPr>
              <w:t>organisations</w:t>
            </w:r>
          </w:p>
        </w:tc>
        <w:tc>
          <w:tcPr>
            <w:tcW w:w="4961" w:type="dxa"/>
            <w:tcBorders>
              <w:top w:val="single" w:sz="24" w:space="0" w:color="B0DFA0" w:themeColor="accent5" w:themeTint="99"/>
              <w:left w:val="single" w:sz="24" w:space="0" w:color="B0DFA0" w:themeColor="accent5" w:themeTint="99"/>
              <w:bottom w:val="single" w:sz="24" w:space="0" w:color="B0DFA0" w:themeColor="accent5" w:themeTint="99"/>
            </w:tcBorders>
          </w:tcPr>
          <w:p w14:paraId="0DE5DCC6" w14:textId="274B961D" w:rsidR="00DB6605" w:rsidRPr="005F0DC0" w:rsidRDefault="00C022EF" w:rsidP="006C6D7E">
            <w:pPr>
              <w:spacing w:before="120" w:after="120"/>
              <w:ind w:left="57" w:right="57"/>
              <w:jc w:val="center"/>
              <w:rPr>
                <w:sz w:val="48"/>
                <w:szCs w:val="48"/>
              </w:rPr>
            </w:pPr>
            <w:r>
              <w:rPr>
                <w:color w:val="387026" w:themeColor="accent5" w:themeShade="80"/>
                <w:sz w:val="48"/>
                <w:szCs w:val="48"/>
              </w:rPr>
              <w:t>2314</w:t>
            </w:r>
            <w:r w:rsidRPr="00A00732">
              <w:rPr>
                <w:color w:val="387026" w:themeColor="accent5" w:themeShade="80"/>
                <w:sz w:val="48"/>
                <w:szCs w:val="48"/>
              </w:rPr>
              <w:t xml:space="preserve"> </w:t>
            </w:r>
            <w:r w:rsidR="00DB6605" w:rsidRPr="00A00732">
              <w:rPr>
                <w:color w:val="387026" w:themeColor="accent5" w:themeShade="80"/>
                <w:sz w:val="48"/>
                <w:szCs w:val="48"/>
              </w:rPr>
              <w:t>users</w:t>
            </w:r>
            <w:r w:rsidR="00DB6605">
              <w:rPr>
                <w:rStyle w:val="FootnoteReference"/>
                <w:color w:val="387026" w:themeColor="accent5" w:themeShade="80"/>
                <w:sz w:val="48"/>
                <w:szCs w:val="48"/>
              </w:rPr>
              <w:footnoteReference w:id="1"/>
            </w:r>
          </w:p>
        </w:tc>
      </w:tr>
      <w:tr w:rsidR="00DB6605" w14:paraId="549175E6" w14:textId="77777777" w:rsidTr="006C6D7E">
        <w:trPr>
          <w:trHeight w:val="7370"/>
        </w:trPr>
        <w:tc>
          <w:tcPr>
            <w:tcW w:w="5499" w:type="dxa"/>
            <w:gridSpan w:val="2"/>
            <w:tcBorders>
              <w:top w:val="single" w:sz="24" w:space="0" w:color="B0DFA0" w:themeColor="accent5" w:themeTint="99"/>
              <w:bottom w:val="single" w:sz="24" w:space="0" w:color="B0DFA0" w:themeColor="accent5" w:themeTint="99"/>
              <w:right w:val="single" w:sz="24" w:space="0" w:color="B0DFA0" w:themeColor="accent5" w:themeTint="99"/>
            </w:tcBorders>
          </w:tcPr>
          <w:p w14:paraId="03D42E37" w14:textId="77777777" w:rsidR="00DB6605" w:rsidRDefault="00DB6605" w:rsidP="006C6D7E">
            <w:pPr>
              <w:spacing w:before="120" w:after="120"/>
              <w:ind w:left="57" w:right="57"/>
            </w:pPr>
            <w:r>
              <w:rPr>
                <w:noProof/>
              </w:rPr>
              <w:drawing>
                <wp:inline distT="0" distB="0" distL="0" distR="0" wp14:anchorId="5080A29E" wp14:editId="3344D409">
                  <wp:extent cx="3219450" cy="219075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DFDB816" w14:textId="77777777" w:rsidR="00DB6605" w:rsidRDefault="00DB6605" w:rsidP="006C6D7E">
            <w:pPr>
              <w:spacing w:before="120" w:after="120"/>
              <w:ind w:left="57" w:right="57"/>
            </w:pPr>
            <w:r>
              <w:rPr>
                <w:noProof/>
              </w:rPr>
              <w:drawing>
                <wp:inline distT="0" distB="0" distL="0" distR="0" wp14:anchorId="703D18F7" wp14:editId="58E823D5">
                  <wp:extent cx="3171825" cy="2190750"/>
                  <wp:effectExtent l="0" t="0" r="9525" b="0"/>
                  <wp:docPr id="17" name="Chart 17">
                    <a:extLst xmlns:a="http://schemas.openxmlformats.org/drawingml/2006/main">
                      <a:ext uri="{FF2B5EF4-FFF2-40B4-BE49-F238E27FC236}">
                        <a16:creationId xmlns:a16="http://schemas.microsoft.com/office/drawing/2014/main" id="{A0C21576-ED62-4E1E-91BA-AA9AB0B855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961" w:type="dxa"/>
            <w:tcBorders>
              <w:top w:val="single" w:sz="24" w:space="0" w:color="B0DFA0" w:themeColor="accent5" w:themeTint="99"/>
              <w:left w:val="single" w:sz="24" w:space="0" w:color="B0DFA0" w:themeColor="accent5" w:themeTint="99"/>
              <w:bottom w:val="single" w:sz="24" w:space="0" w:color="B0DFA0" w:themeColor="accent5" w:themeTint="99"/>
            </w:tcBorders>
          </w:tcPr>
          <w:p w14:paraId="098C2878" w14:textId="77777777" w:rsidR="00DB6605" w:rsidRDefault="00DB6605" w:rsidP="006C6D7E">
            <w:pPr>
              <w:spacing w:before="120" w:after="120"/>
              <w:ind w:left="57" w:right="57"/>
            </w:pPr>
            <w:r>
              <w:rPr>
                <w:noProof/>
              </w:rPr>
              <w:drawing>
                <wp:inline distT="0" distB="0" distL="0" distR="0" wp14:anchorId="08A9322A" wp14:editId="2C8EA698">
                  <wp:extent cx="2867025" cy="252412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0F93C76" w14:textId="77777777" w:rsidR="00DB6605" w:rsidRDefault="00DB6605" w:rsidP="006C6D7E">
            <w:pPr>
              <w:spacing w:before="120" w:after="120"/>
              <w:ind w:left="57" w:right="57"/>
            </w:pPr>
          </w:p>
        </w:tc>
      </w:tr>
      <w:tr w:rsidR="00DB6605" w14:paraId="175DED8E" w14:textId="77777777" w:rsidTr="006C6D7E">
        <w:tc>
          <w:tcPr>
            <w:tcW w:w="10460" w:type="dxa"/>
            <w:gridSpan w:val="3"/>
            <w:tcBorders>
              <w:bottom w:val="single" w:sz="24" w:space="0" w:color="B0DFA0" w:themeColor="accent5" w:themeTint="99"/>
            </w:tcBorders>
          </w:tcPr>
          <w:p w14:paraId="6B64DC22" w14:textId="77777777" w:rsidR="00DB6605" w:rsidRPr="00A82C98" w:rsidRDefault="00DB6605" w:rsidP="006C6D7E">
            <w:pPr>
              <w:spacing w:before="120" w:after="120"/>
              <w:ind w:left="57" w:right="57"/>
              <w:rPr>
                <w:rFonts w:cstheme="minorHAnsi"/>
                <w:b/>
                <w:bCs/>
                <w:color w:val="387026" w:themeColor="accent5" w:themeShade="80"/>
                <w:sz w:val="28"/>
                <w:szCs w:val="28"/>
              </w:rPr>
            </w:pPr>
            <w:r>
              <w:rPr>
                <w:rFonts w:ascii="Calibri" w:eastAsia="Times New Roman" w:hAnsi="Calibri" w:cs="Calibri"/>
                <w:color w:val="323130"/>
                <w:lang w:eastAsia="en-GB"/>
              </w:rPr>
              <w:lastRenderedPageBreak/>
              <w:br w:type="page"/>
            </w:r>
            <w:r w:rsidRPr="008A5C64">
              <w:rPr>
                <w:b/>
                <w:bCs/>
                <w:color w:val="387026" w:themeColor="accent5" w:themeShade="80"/>
                <w:sz w:val="28"/>
                <w:szCs w:val="28"/>
              </w:rPr>
              <w:t>Strategic Goal B: MEDIN delivers the technical infrastructure required to ensure UK marine environmental data are Findable, Accessible, Interoperable and Reusable (FAIR)</w:t>
            </w:r>
            <w:r w:rsidRPr="008A5C64">
              <w:rPr>
                <w:bCs/>
                <w:color w:val="387026" w:themeColor="accent5" w:themeShade="80"/>
                <w:sz w:val="28"/>
                <w:szCs w:val="28"/>
              </w:rPr>
              <w:t xml:space="preserve"> </w:t>
            </w:r>
            <w:r w:rsidRPr="004F706C">
              <w:rPr>
                <w:bCs/>
                <w:sz w:val="28"/>
                <w:szCs w:val="28"/>
              </w:rPr>
              <w:t>by providing</w:t>
            </w:r>
            <w:r>
              <w:rPr>
                <w:bCs/>
                <w:sz w:val="28"/>
                <w:szCs w:val="28"/>
              </w:rPr>
              <w:t>:</w:t>
            </w:r>
            <w:r w:rsidRPr="004F706C">
              <w:rPr>
                <w:bCs/>
                <w:sz w:val="28"/>
                <w:szCs w:val="28"/>
              </w:rPr>
              <w:t xml:space="preserve"> a coordinated network of marine Data Archive Centres</w:t>
            </w:r>
            <w:r>
              <w:rPr>
                <w:bCs/>
                <w:sz w:val="28"/>
                <w:szCs w:val="28"/>
              </w:rPr>
              <w:t xml:space="preserve">; </w:t>
            </w:r>
            <w:r w:rsidRPr="004F706C">
              <w:rPr>
                <w:bCs/>
                <w:sz w:val="28"/>
                <w:szCs w:val="28"/>
              </w:rPr>
              <w:t>a single portal to access all UK marine data</w:t>
            </w:r>
            <w:r>
              <w:rPr>
                <w:bCs/>
                <w:sz w:val="28"/>
                <w:szCs w:val="28"/>
              </w:rPr>
              <w:t>;</w:t>
            </w:r>
            <w:r w:rsidRPr="004F706C">
              <w:rPr>
                <w:bCs/>
                <w:sz w:val="28"/>
                <w:szCs w:val="28"/>
              </w:rPr>
              <w:t xml:space="preserve"> and standards</w:t>
            </w:r>
            <w:r>
              <w:rPr>
                <w:bCs/>
                <w:sz w:val="28"/>
                <w:szCs w:val="28"/>
              </w:rPr>
              <w:t>,</w:t>
            </w:r>
            <w:r w:rsidRPr="004F706C">
              <w:rPr>
                <w:bCs/>
                <w:sz w:val="28"/>
                <w:szCs w:val="28"/>
              </w:rPr>
              <w:t xml:space="preserve"> tools and services to support the UK marine community.</w:t>
            </w:r>
          </w:p>
        </w:tc>
      </w:tr>
      <w:tr w:rsidR="00DB6605" w14:paraId="3DC8E259" w14:textId="77777777" w:rsidTr="006C6D7E">
        <w:tc>
          <w:tcPr>
            <w:tcW w:w="10460" w:type="dxa"/>
            <w:gridSpan w:val="3"/>
            <w:tcBorders>
              <w:top w:val="single" w:sz="24" w:space="0" w:color="B0DFA0" w:themeColor="accent5" w:themeTint="99"/>
              <w:bottom w:val="single" w:sz="24" w:space="0" w:color="B0DFA0" w:themeColor="accent5" w:themeTint="99"/>
            </w:tcBorders>
          </w:tcPr>
          <w:p w14:paraId="096F14F7" w14:textId="77777777" w:rsidR="00DB6605" w:rsidRDefault="00DB6605" w:rsidP="006C6D7E">
            <w:pPr>
              <w:spacing w:before="120" w:after="120"/>
              <w:ind w:left="57" w:right="57"/>
            </w:pPr>
            <w:r>
              <w:t xml:space="preserve">We have 2 Key Performance Indicators which measure progress against this goal: </w:t>
            </w:r>
          </w:p>
          <w:p w14:paraId="0583F9F0" w14:textId="77777777" w:rsidR="00DB6605" w:rsidRDefault="00DB6605" w:rsidP="006C6D7E">
            <w:pPr>
              <w:ind w:left="1440"/>
              <w:rPr>
                <w:bCs/>
              </w:rPr>
            </w:pPr>
            <w:r>
              <w:t xml:space="preserve">KPI 3: </w:t>
            </w:r>
            <w:r>
              <w:rPr>
                <w:bCs/>
              </w:rPr>
              <w:t>Summary of access to</w:t>
            </w:r>
            <w:r w:rsidRPr="00BA7CED">
              <w:rPr>
                <w:bCs/>
              </w:rPr>
              <w:t xml:space="preserve"> </w:t>
            </w:r>
            <w:r>
              <w:rPr>
                <w:bCs/>
              </w:rPr>
              <w:t>data described in the MEDIN portal,</w:t>
            </w:r>
          </w:p>
          <w:p w14:paraId="33181420" w14:textId="77777777" w:rsidR="00DB6605" w:rsidRPr="00D21C07" w:rsidRDefault="00DB6605" w:rsidP="006C6D7E">
            <w:pPr>
              <w:ind w:left="1440"/>
              <w:rPr>
                <w:bCs/>
              </w:rPr>
            </w:pPr>
            <w:r>
              <w:t>KPI 4: Number of requests for data at MEDIN Data Archive Centres.</w:t>
            </w:r>
          </w:p>
        </w:tc>
      </w:tr>
      <w:tr w:rsidR="00DB6605" w14:paraId="43986AB2" w14:textId="77777777" w:rsidTr="006C6D7E">
        <w:tc>
          <w:tcPr>
            <w:tcW w:w="10460" w:type="dxa"/>
            <w:gridSpan w:val="3"/>
            <w:tcBorders>
              <w:top w:val="single" w:sz="24" w:space="0" w:color="B0DFA0" w:themeColor="accent5" w:themeTint="99"/>
              <w:bottom w:val="single" w:sz="24" w:space="0" w:color="B0DFA0" w:themeColor="accent5" w:themeTint="99"/>
            </w:tcBorders>
          </w:tcPr>
          <w:p w14:paraId="5EA03830" w14:textId="77777777" w:rsidR="00DB6605" w:rsidRDefault="00DB6605" w:rsidP="006C6D7E">
            <w:pPr>
              <w:spacing w:before="120" w:after="120"/>
              <w:ind w:left="57" w:right="57"/>
            </w:pPr>
            <w:r w:rsidRPr="005F0DC0">
              <w:rPr>
                <w:b/>
                <w:color w:val="387026" w:themeColor="accent5" w:themeShade="80"/>
                <w:sz w:val="28"/>
                <w:szCs w:val="28"/>
              </w:rPr>
              <w:t>How did we perform this year?</w:t>
            </w:r>
          </w:p>
        </w:tc>
      </w:tr>
      <w:tr w:rsidR="00DB6605" w14:paraId="23BEA810" w14:textId="77777777" w:rsidTr="006C6D7E">
        <w:tc>
          <w:tcPr>
            <w:tcW w:w="5479" w:type="dxa"/>
            <w:tcBorders>
              <w:top w:val="single" w:sz="24" w:space="0" w:color="B0DFA0" w:themeColor="accent5" w:themeTint="99"/>
              <w:bottom w:val="single" w:sz="24" w:space="0" w:color="B0DFA0" w:themeColor="accent5" w:themeTint="99"/>
              <w:right w:val="single" w:sz="24" w:space="0" w:color="B0DFA0" w:themeColor="accent5" w:themeTint="99"/>
            </w:tcBorders>
          </w:tcPr>
          <w:p w14:paraId="4941FFA9" w14:textId="276E57B4" w:rsidR="00DB6605" w:rsidRDefault="00DB6605" w:rsidP="006C6D7E">
            <w:pPr>
              <w:spacing w:before="120" w:after="120"/>
              <w:ind w:left="57" w:right="57"/>
              <w:jc w:val="center"/>
            </w:pPr>
            <w:r w:rsidRPr="006A1D4D">
              <w:rPr>
                <w:color w:val="387026" w:themeColor="accent5" w:themeShade="80"/>
                <w:sz w:val="48"/>
                <w:szCs w:val="48"/>
              </w:rPr>
              <w:t xml:space="preserve">64% data </w:t>
            </w:r>
            <w:r>
              <w:rPr>
                <w:color w:val="387026" w:themeColor="accent5" w:themeShade="80"/>
                <w:sz w:val="48"/>
                <w:szCs w:val="48"/>
              </w:rPr>
              <w:t xml:space="preserve">available from MEDIN portal </w:t>
            </w:r>
            <w:r w:rsidRPr="006A1D4D">
              <w:rPr>
                <w:color w:val="387026" w:themeColor="accent5" w:themeShade="80"/>
                <w:sz w:val="48"/>
                <w:szCs w:val="48"/>
              </w:rPr>
              <w:t>is archive quality</w:t>
            </w:r>
            <w:r w:rsidR="0076703D">
              <w:rPr>
                <w:rStyle w:val="FootnoteReference"/>
                <w:color w:val="387026" w:themeColor="accent5" w:themeShade="80"/>
                <w:sz w:val="48"/>
                <w:szCs w:val="48"/>
              </w:rPr>
              <w:footnoteReference w:customMarkFollows="1" w:id="2"/>
              <w:t>*</w:t>
            </w:r>
          </w:p>
        </w:tc>
        <w:tc>
          <w:tcPr>
            <w:tcW w:w="4981" w:type="dxa"/>
            <w:gridSpan w:val="2"/>
            <w:tcBorders>
              <w:top w:val="single" w:sz="24" w:space="0" w:color="B0DFA0" w:themeColor="accent5" w:themeTint="99"/>
              <w:left w:val="single" w:sz="24" w:space="0" w:color="B0DFA0" w:themeColor="accent5" w:themeTint="99"/>
              <w:bottom w:val="single" w:sz="24" w:space="0" w:color="B0DFA0" w:themeColor="accent5" w:themeTint="99"/>
            </w:tcBorders>
          </w:tcPr>
          <w:p w14:paraId="03F9DDCD" w14:textId="1819F64F" w:rsidR="00DB6605" w:rsidRPr="005F0DC0" w:rsidRDefault="00B27178" w:rsidP="006C6D7E">
            <w:pPr>
              <w:spacing w:before="120" w:after="120"/>
              <w:ind w:left="57" w:right="57"/>
              <w:jc w:val="center"/>
              <w:rPr>
                <w:sz w:val="48"/>
                <w:szCs w:val="48"/>
              </w:rPr>
            </w:pPr>
            <w:r>
              <w:rPr>
                <w:color w:val="387026" w:themeColor="accent5" w:themeShade="80"/>
                <w:sz w:val="48"/>
                <w:szCs w:val="48"/>
              </w:rPr>
              <w:t>1.6 million</w:t>
            </w:r>
            <w:r w:rsidR="00DB6605">
              <w:rPr>
                <w:color w:val="387026" w:themeColor="accent5" w:themeShade="80"/>
                <w:sz w:val="48"/>
                <w:szCs w:val="48"/>
              </w:rPr>
              <w:t xml:space="preserve"> requests for data</w:t>
            </w:r>
          </w:p>
        </w:tc>
      </w:tr>
      <w:tr w:rsidR="00DB6605" w14:paraId="0D40FA11" w14:textId="77777777" w:rsidTr="006C6D7E">
        <w:tc>
          <w:tcPr>
            <w:tcW w:w="5479" w:type="dxa"/>
            <w:tcBorders>
              <w:top w:val="single" w:sz="24" w:space="0" w:color="B0DFA0" w:themeColor="accent5" w:themeTint="99"/>
              <w:bottom w:val="single" w:sz="24" w:space="0" w:color="B0DFA0" w:themeColor="accent5" w:themeTint="99"/>
              <w:right w:val="single" w:sz="24" w:space="0" w:color="B0DFA0" w:themeColor="accent5" w:themeTint="99"/>
            </w:tcBorders>
          </w:tcPr>
          <w:p w14:paraId="64423631" w14:textId="77777777" w:rsidR="00DB6605" w:rsidRDefault="00DB6605" w:rsidP="006C6D7E">
            <w:pPr>
              <w:spacing w:before="120" w:after="120"/>
              <w:ind w:left="57" w:right="57"/>
            </w:pPr>
            <w:r>
              <w:rPr>
                <w:noProof/>
              </w:rPr>
              <w:drawing>
                <wp:inline distT="0" distB="0" distL="0" distR="0" wp14:anchorId="48E9F5EF" wp14:editId="07C0BF57">
                  <wp:extent cx="3133725" cy="26670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B25E179" w14:textId="0E15E05A" w:rsidR="00DB6605" w:rsidRPr="006B42D2" w:rsidRDefault="00E0658F" w:rsidP="006C6D7E">
            <w:pPr>
              <w:spacing w:before="120" w:after="120"/>
              <w:ind w:left="57" w:right="57"/>
              <w:rPr>
                <w:i/>
                <w:sz w:val="20"/>
                <w:szCs w:val="20"/>
              </w:rPr>
            </w:pPr>
            <w:r>
              <w:rPr>
                <w:i/>
                <w:sz w:val="20"/>
                <w:szCs w:val="20"/>
              </w:rPr>
              <w:t>H</w:t>
            </w:r>
            <w:r w:rsidRPr="006B42D2">
              <w:rPr>
                <w:i/>
                <w:sz w:val="20"/>
                <w:szCs w:val="20"/>
              </w:rPr>
              <w:t>atched bar</w:t>
            </w:r>
            <w:r>
              <w:rPr>
                <w:i/>
                <w:sz w:val="20"/>
                <w:szCs w:val="20"/>
              </w:rPr>
              <w:t>s</w:t>
            </w:r>
            <w:r w:rsidRPr="006B42D2">
              <w:rPr>
                <w:i/>
                <w:sz w:val="20"/>
                <w:szCs w:val="20"/>
              </w:rPr>
              <w:t xml:space="preserve"> show information for 2020 and solid bar</w:t>
            </w:r>
            <w:r>
              <w:rPr>
                <w:i/>
                <w:sz w:val="20"/>
                <w:szCs w:val="20"/>
              </w:rPr>
              <w:t>s</w:t>
            </w:r>
            <w:r w:rsidRPr="006B42D2">
              <w:rPr>
                <w:i/>
                <w:sz w:val="20"/>
                <w:szCs w:val="20"/>
              </w:rPr>
              <w:t xml:space="preserve"> show information for 2021.</w:t>
            </w:r>
          </w:p>
        </w:tc>
        <w:tc>
          <w:tcPr>
            <w:tcW w:w="4981" w:type="dxa"/>
            <w:gridSpan w:val="2"/>
            <w:tcBorders>
              <w:top w:val="single" w:sz="24" w:space="0" w:color="B0DFA0" w:themeColor="accent5" w:themeTint="99"/>
              <w:left w:val="single" w:sz="24" w:space="0" w:color="B0DFA0" w:themeColor="accent5" w:themeTint="99"/>
              <w:bottom w:val="single" w:sz="24" w:space="0" w:color="B0DFA0" w:themeColor="accent5" w:themeTint="99"/>
            </w:tcBorders>
          </w:tcPr>
          <w:p w14:paraId="5747B978" w14:textId="571428E9" w:rsidR="00DB6605" w:rsidRDefault="00B27178" w:rsidP="006C6D7E">
            <w:pPr>
              <w:spacing w:before="120" w:after="120"/>
              <w:ind w:left="57" w:right="57"/>
            </w:pPr>
            <w:r>
              <w:rPr>
                <w:noProof/>
              </w:rPr>
              <w:drawing>
                <wp:inline distT="0" distB="0" distL="0" distR="0" wp14:anchorId="3B7258D9" wp14:editId="348D52E4">
                  <wp:extent cx="3009900" cy="2362200"/>
                  <wp:effectExtent l="0" t="0" r="0" b="0"/>
                  <wp:docPr id="25" name="Chart 25">
                    <a:extLst xmlns:a="http://schemas.openxmlformats.org/drawingml/2006/main">
                      <a:ext uri="{FF2B5EF4-FFF2-40B4-BE49-F238E27FC236}">
                        <a16:creationId xmlns:a16="http://schemas.microsoft.com/office/drawing/2014/main" id="{79704252-58A1-4649-BF03-3FDBE074AC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5A31A9D" w14:textId="0A091642" w:rsidR="00DB6605" w:rsidRPr="00FC423A" w:rsidRDefault="00DB6605" w:rsidP="006C6D7E">
            <w:pPr>
              <w:spacing w:before="120" w:after="120"/>
              <w:ind w:left="57" w:right="57"/>
              <w:rPr>
                <w:i/>
                <w:sz w:val="20"/>
                <w:szCs w:val="20"/>
              </w:rPr>
            </w:pPr>
            <w:r w:rsidRPr="00FC423A">
              <w:rPr>
                <w:i/>
                <w:sz w:val="20"/>
                <w:szCs w:val="20"/>
              </w:rPr>
              <w:t>Note the logarithmic scale on the y-axis</w:t>
            </w:r>
            <w:r>
              <w:rPr>
                <w:i/>
                <w:sz w:val="20"/>
                <w:szCs w:val="20"/>
              </w:rPr>
              <w:t>.</w:t>
            </w:r>
            <w:r w:rsidR="00E0658F">
              <w:rPr>
                <w:i/>
                <w:sz w:val="20"/>
                <w:szCs w:val="20"/>
              </w:rPr>
              <w:t xml:space="preserve"> H</w:t>
            </w:r>
            <w:r w:rsidR="00E0658F" w:rsidRPr="00D4537B">
              <w:rPr>
                <w:i/>
                <w:sz w:val="20"/>
                <w:szCs w:val="20"/>
              </w:rPr>
              <w:t>atched bar</w:t>
            </w:r>
            <w:r w:rsidR="00E0658F">
              <w:rPr>
                <w:i/>
                <w:sz w:val="20"/>
                <w:szCs w:val="20"/>
              </w:rPr>
              <w:t>s</w:t>
            </w:r>
            <w:r w:rsidR="00E0658F" w:rsidRPr="00D4537B">
              <w:rPr>
                <w:i/>
                <w:sz w:val="20"/>
                <w:szCs w:val="20"/>
              </w:rPr>
              <w:t xml:space="preserve"> show information </w:t>
            </w:r>
            <w:r w:rsidR="00C61D7E">
              <w:rPr>
                <w:i/>
                <w:sz w:val="20"/>
                <w:szCs w:val="20"/>
              </w:rPr>
              <w:t xml:space="preserve">for </w:t>
            </w:r>
            <w:r w:rsidR="00E0658F" w:rsidRPr="00D4537B">
              <w:rPr>
                <w:i/>
                <w:sz w:val="20"/>
                <w:szCs w:val="20"/>
              </w:rPr>
              <w:t>2020 and solid bar</w:t>
            </w:r>
            <w:r w:rsidR="00E0658F">
              <w:rPr>
                <w:i/>
                <w:sz w:val="20"/>
                <w:szCs w:val="20"/>
              </w:rPr>
              <w:t>s</w:t>
            </w:r>
            <w:r w:rsidR="00E0658F" w:rsidRPr="00D4537B">
              <w:rPr>
                <w:i/>
                <w:sz w:val="20"/>
                <w:szCs w:val="20"/>
              </w:rPr>
              <w:t xml:space="preserve"> show information for 2021.</w:t>
            </w:r>
          </w:p>
        </w:tc>
      </w:tr>
    </w:tbl>
    <w:p w14:paraId="10C60990" w14:textId="77777777" w:rsidR="00DB6605" w:rsidRDefault="00DB6605" w:rsidP="00DB6605">
      <w:pPr>
        <w:shd w:val="clear" w:color="auto" w:fill="FFFFFF"/>
        <w:spacing w:after="0" w:line="240" w:lineRule="auto"/>
        <w:rPr>
          <w:rFonts w:ascii="Calibri" w:eastAsia="Times New Roman" w:hAnsi="Calibri" w:cs="Calibri"/>
          <w:color w:val="323130"/>
          <w:lang w:eastAsia="en-GB"/>
        </w:rPr>
      </w:pPr>
    </w:p>
    <w:p w14:paraId="1869934F" w14:textId="77777777" w:rsidR="00DB6605" w:rsidRDefault="00DB6605" w:rsidP="00DB6605">
      <w:pPr>
        <w:rPr>
          <w:rFonts w:ascii="Calibri" w:eastAsia="Times New Roman" w:hAnsi="Calibri" w:cs="Calibri"/>
          <w:color w:val="323130"/>
          <w:lang w:eastAsia="en-GB"/>
        </w:rPr>
      </w:pPr>
      <w:r>
        <w:rPr>
          <w:rFonts w:ascii="Calibri" w:eastAsia="Times New Roman" w:hAnsi="Calibri" w:cs="Calibri"/>
          <w:color w:val="323130"/>
          <w:lang w:eastAsia="en-GB"/>
        </w:rPr>
        <w:br w:type="page"/>
      </w:r>
    </w:p>
    <w:tbl>
      <w:tblPr>
        <w:tblStyle w:val="TableGrid"/>
        <w:tblW w:w="10460" w:type="dxa"/>
        <w:tblBorders>
          <w:top w:val="single" w:sz="24" w:space="0" w:color="B0DFA0" w:themeColor="accent5" w:themeTint="99"/>
          <w:left w:val="single" w:sz="24" w:space="0" w:color="B0DFA0" w:themeColor="accent5" w:themeTint="99"/>
          <w:bottom w:val="single" w:sz="24" w:space="0" w:color="B0DFA0" w:themeColor="accent5" w:themeTint="99"/>
          <w:right w:val="single" w:sz="24" w:space="0" w:color="B0DFA0" w:themeColor="accent5" w:themeTint="99"/>
          <w:insideH w:val="none" w:sz="0" w:space="0" w:color="auto"/>
          <w:insideV w:val="none" w:sz="0" w:space="0" w:color="auto"/>
        </w:tblBorders>
        <w:tblLook w:val="04A0" w:firstRow="1" w:lastRow="0" w:firstColumn="1" w:lastColumn="0" w:noHBand="0" w:noVBand="1"/>
      </w:tblPr>
      <w:tblGrid>
        <w:gridCol w:w="5073"/>
        <w:gridCol w:w="5387"/>
      </w:tblGrid>
      <w:tr w:rsidR="00DB6605" w14:paraId="644935F6" w14:textId="77777777" w:rsidTr="006C6D7E">
        <w:tc>
          <w:tcPr>
            <w:tcW w:w="10460" w:type="dxa"/>
            <w:gridSpan w:val="2"/>
            <w:tcBorders>
              <w:bottom w:val="single" w:sz="24" w:space="0" w:color="B0DFA0" w:themeColor="accent5" w:themeTint="99"/>
            </w:tcBorders>
          </w:tcPr>
          <w:p w14:paraId="254507CE" w14:textId="77777777" w:rsidR="00DB6605" w:rsidRPr="00A82C98" w:rsidRDefault="00DB6605" w:rsidP="006C6D7E">
            <w:pPr>
              <w:spacing w:before="120" w:after="120"/>
              <w:ind w:left="57" w:right="57"/>
              <w:rPr>
                <w:rFonts w:cstheme="minorHAnsi"/>
                <w:b/>
                <w:bCs/>
                <w:color w:val="387026" w:themeColor="accent5" w:themeShade="80"/>
                <w:sz w:val="28"/>
                <w:szCs w:val="28"/>
              </w:rPr>
            </w:pPr>
            <w:r w:rsidRPr="008A5C64">
              <w:rPr>
                <w:b/>
                <w:bCs/>
                <w:color w:val="387026" w:themeColor="accent5" w:themeShade="80"/>
                <w:sz w:val="28"/>
                <w:szCs w:val="28"/>
              </w:rPr>
              <w:lastRenderedPageBreak/>
              <w:t>Strategic Goal C: MEDIN delivers an open and constructive data management culture:</w:t>
            </w:r>
            <w:r w:rsidRPr="008A5C64">
              <w:rPr>
                <w:bCs/>
                <w:color w:val="387026" w:themeColor="accent5" w:themeShade="80"/>
                <w:sz w:val="28"/>
                <w:szCs w:val="28"/>
              </w:rPr>
              <w:t xml:space="preserve"> </w:t>
            </w:r>
            <w:r w:rsidRPr="004F706C">
              <w:rPr>
                <w:bCs/>
                <w:sz w:val="28"/>
                <w:szCs w:val="28"/>
              </w:rPr>
              <w:t>fostering global collaboration and partnerships</w:t>
            </w:r>
            <w:r>
              <w:rPr>
                <w:bCs/>
                <w:sz w:val="28"/>
                <w:szCs w:val="28"/>
              </w:rPr>
              <w:t>;</w:t>
            </w:r>
            <w:r w:rsidRPr="004F706C">
              <w:rPr>
                <w:bCs/>
                <w:sz w:val="28"/>
                <w:szCs w:val="28"/>
              </w:rPr>
              <w:t xml:space="preserve"> addressing skills gaps</w:t>
            </w:r>
            <w:r>
              <w:rPr>
                <w:bCs/>
                <w:sz w:val="28"/>
                <w:szCs w:val="28"/>
              </w:rPr>
              <w:t>;</w:t>
            </w:r>
            <w:r w:rsidRPr="004F706C">
              <w:rPr>
                <w:bCs/>
                <w:sz w:val="28"/>
                <w:szCs w:val="28"/>
              </w:rPr>
              <w:t xml:space="preserve"> providing training and education.</w:t>
            </w:r>
          </w:p>
        </w:tc>
      </w:tr>
      <w:tr w:rsidR="00DB6605" w14:paraId="2E5ED44A" w14:textId="77777777" w:rsidTr="006C6D7E">
        <w:tc>
          <w:tcPr>
            <w:tcW w:w="10460" w:type="dxa"/>
            <w:gridSpan w:val="2"/>
            <w:tcBorders>
              <w:top w:val="single" w:sz="24" w:space="0" w:color="B0DFA0" w:themeColor="accent5" w:themeTint="99"/>
              <w:bottom w:val="single" w:sz="24" w:space="0" w:color="B0DFA0" w:themeColor="accent5" w:themeTint="99"/>
            </w:tcBorders>
          </w:tcPr>
          <w:p w14:paraId="67A80D2F" w14:textId="77777777" w:rsidR="00DB6605" w:rsidRDefault="00DB6605" w:rsidP="006C6D7E">
            <w:pPr>
              <w:spacing w:before="120" w:after="120"/>
              <w:ind w:left="57" w:right="57"/>
            </w:pPr>
            <w:r>
              <w:t xml:space="preserve">We have 3 Key Performance Indicators which measure progress against this goal: </w:t>
            </w:r>
          </w:p>
          <w:p w14:paraId="350EB6B7" w14:textId="77777777" w:rsidR="00DB6605" w:rsidRDefault="00DB6605" w:rsidP="006C6D7E">
            <w:pPr>
              <w:spacing w:before="120" w:after="120"/>
              <w:ind w:left="1440" w:right="57"/>
            </w:pPr>
            <w:r>
              <w:t xml:space="preserve">KPI 5: Number of people receiving regular MEDIN updates, </w:t>
            </w:r>
          </w:p>
          <w:p w14:paraId="108460E0" w14:textId="77777777" w:rsidR="00DB6605" w:rsidRDefault="00DB6605" w:rsidP="006C6D7E">
            <w:pPr>
              <w:spacing w:before="120" w:after="120"/>
              <w:ind w:left="1440" w:right="57"/>
            </w:pPr>
            <w:r>
              <w:t>KPI 6: Number of organisations receiving MEDIN data management training</w:t>
            </w:r>
          </w:p>
          <w:p w14:paraId="41853569" w14:textId="77777777" w:rsidR="00DB6605" w:rsidRPr="005F0DC0" w:rsidRDefault="00DB6605" w:rsidP="006C6D7E">
            <w:pPr>
              <w:spacing w:before="120" w:after="120"/>
              <w:ind w:left="1440" w:right="57"/>
            </w:pPr>
            <w:r>
              <w:t>KPI 7: Number of national and international conferences or trade fairs where MEDIN is represented.</w:t>
            </w:r>
          </w:p>
        </w:tc>
      </w:tr>
      <w:tr w:rsidR="00DB6605" w14:paraId="132080AC" w14:textId="77777777" w:rsidTr="006C6D7E">
        <w:tc>
          <w:tcPr>
            <w:tcW w:w="10460" w:type="dxa"/>
            <w:gridSpan w:val="2"/>
            <w:tcBorders>
              <w:top w:val="single" w:sz="24" w:space="0" w:color="B0DFA0" w:themeColor="accent5" w:themeTint="99"/>
              <w:bottom w:val="single" w:sz="24" w:space="0" w:color="B0DFA0" w:themeColor="accent5" w:themeTint="99"/>
            </w:tcBorders>
          </w:tcPr>
          <w:p w14:paraId="0702D7E1" w14:textId="77777777" w:rsidR="00DB6605" w:rsidRDefault="00DB6605" w:rsidP="006C6D7E">
            <w:pPr>
              <w:spacing w:before="120" w:after="120"/>
              <w:ind w:left="57" w:right="57"/>
            </w:pPr>
            <w:r w:rsidRPr="005F0DC0">
              <w:rPr>
                <w:b/>
                <w:color w:val="387026" w:themeColor="accent5" w:themeShade="80"/>
                <w:sz w:val="28"/>
                <w:szCs w:val="28"/>
              </w:rPr>
              <w:t>How did we perform this year?</w:t>
            </w:r>
          </w:p>
        </w:tc>
      </w:tr>
      <w:tr w:rsidR="00DB6605" w14:paraId="5DF0A3AB" w14:textId="77777777" w:rsidTr="006C6D7E">
        <w:tc>
          <w:tcPr>
            <w:tcW w:w="5073" w:type="dxa"/>
            <w:tcBorders>
              <w:top w:val="single" w:sz="24" w:space="0" w:color="B0DFA0" w:themeColor="accent5" w:themeTint="99"/>
              <w:bottom w:val="single" w:sz="24" w:space="0" w:color="B0DFA0" w:themeColor="accent5" w:themeTint="99"/>
              <w:right w:val="single" w:sz="24" w:space="0" w:color="B0DFA0" w:themeColor="accent5" w:themeTint="99"/>
            </w:tcBorders>
          </w:tcPr>
          <w:p w14:paraId="60F50739" w14:textId="77777777" w:rsidR="00DB6605" w:rsidRPr="00103597" w:rsidRDefault="00DB6605" w:rsidP="006C6D7E">
            <w:pPr>
              <w:spacing w:before="120" w:after="120"/>
              <w:ind w:left="57" w:right="57"/>
              <w:jc w:val="center"/>
            </w:pPr>
            <w:r w:rsidRPr="00103597">
              <w:rPr>
                <w:color w:val="387026" w:themeColor="accent5" w:themeShade="80"/>
                <w:sz w:val="48"/>
                <w:szCs w:val="48"/>
              </w:rPr>
              <w:t>1</w:t>
            </w:r>
            <w:r>
              <w:rPr>
                <w:color w:val="387026" w:themeColor="accent5" w:themeShade="80"/>
                <w:sz w:val="48"/>
                <w:szCs w:val="48"/>
              </w:rPr>
              <w:t>,</w:t>
            </w:r>
            <w:r w:rsidRPr="00103597">
              <w:rPr>
                <w:color w:val="387026" w:themeColor="accent5" w:themeShade="80"/>
                <w:sz w:val="48"/>
                <w:szCs w:val="48"/>
              </w:rPr>
              <w:t xml:space="preserve">507 </w:t>
            </w:r>
            <w:r>
              <w:rPr>
                <w:color w:val="387026" w:themeColor="accent5" w:themeShade="80"/>
                <w:sz w:val="48"/>
                <w:szCs w:val="48"/>
              </w:rPr>
              <w:t xml:space="preserve">update </w:t>
            </w:r>
            <w:r w:rsidRPr="00103597">
              <w:rPr>
                <w:color w:val="387026" w:themeColor="accent5" w:themeShade="80"/>
                <w:sz w:val="48"/>
                <w:szCs w:val="48"/>
              </w:rPr>
              <w:t xml:space="preserve">recipients </w:t>
            </w:r>
          </w:p>
        </w:tc>
        <w:tc>
          <w:tcPr>
            <w:tcW w:w="5387" w:type="dxa"/>
            <w:tcBorders>
              <w:top w:val="single" w:sz="24" w:space="0" w:color="B0DFA0" w:themeColor="accent5" w:themeTint="99"/>
              <w:left w:val="single" w:sz="24" w:space="0" w:color="B0DFA0" w:themeColor="accent5" w:themeTint="99"/>
              <w:bottom w:val="single" w:sz="24" w:space="0" w:color="B0DFA0" w:themeColor="accent5" w:themeTint="99"/>
            </w:tcBorders>
          </w:tcPr>
          <w:p w14:paraId="3322ED26" w14:textId="364F8194" w:rsidR="00DB6605" w:rsidRPr="00103597" w:rsidRDefault="0046769B" w:rsidP="006C6D7E">
            <w:pPr>
              <w:spacing w:before="120" w:after="120"/>
              <w:ind w:left="57" w:right="57"/>
              <w:jc w:val="center"/>
              <w:rPr>
                <w:sz w:val="48"/>
                <w:szCs w:val="48"/>
              </w:rPr>
            </w:pPr>
            <w:r>
              <w:rPr>
                <w:color w:val="387026" w:themeColor="accent5" w:themeShade="80"/>
                <w:sz w:val="48"/>
                <w:szCs w:val="48"/>
              </w:rPr>
              <w:t>New o</w:t>
            </w:r>
            <w:r w:rsidR="00EE67D6">
              <w:rPr>
                <w:color w:val="387026" w:themeColor="accent5" w:themeShade="80"/>
                <w:sz w:val="48"/>
                <w:szCs w:val="48"/>
              </w:rPr>
              <w:t>nline training resources developed</w:t>
            </w:r>
          </w:p>
        </w:tc>
      </w:tr>
      <w:tr w:rsidR="00DB6605" w14:paraId="71A0482F" w14:textId="77777777" w:rsidTr="006C6D7E">
        <w:tc>
          <w:tcPr>
            <w:tcW w:w="5073" w:type="dxa"/>
            <w:tcBorders>
              <w:top w:val="single" w:sz="24" w:space="0" w:color="B0DFA0" w:themeColor="accent5" w:themeTint="99"/>
              <w:bottom w:val="single" w:sz="24" w:space="0" w:color="B0DFA0" w:themeColor="accent5" w:themeTint="99"/>
              <w:right w:val="single" w:sz="24" w:space="0" w:color="B0DFA0" w:themeColor="accent5" w:themeTint="99"/>
            </w:tcBorders>
          </w:tcPr>
          <w:p w14:paraId="7866BA7E" w14:textId="77777777" w:rsidR="00DB6605" w:rsidRDefault="00DB6605" w:rsidP="006C6D7E">
            <w:pPr>
              <w:spacing w:before="120" w:after="120"/>
              <w:ind w:left="57" w:right="57"/>
              <w:jc w:val="center"/>
              <w:rPr>
                <w:color w:val="387026" w:themeColor="accent5" w:themeShade="80"/>
                <w:sz w:val="48"/>
                <w:szCs w:val="48"/>
              </w:rPr>
            </w:pPr>
            <w:r w:rsidRPr="00103597">
              <w:rPr>
                <w:noProof/>
              </w:rPr>
              <w:drawing>
                <wp:inline distT="0" distB="0" distL="0" distR="0" wp14:anchorId="1D7A2387" wp14:editId="44095AA5">
                  <wp:extent cx="2628900" cy="235267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3C3C14B" w14:textId="18715285" w:rsidR="00CA7569" w:rsidRPr="00103597" w:rsidRDefault="00CA7569" w:rsidP="006B42D2">
            <w:pPr>
              <w:spacing w:before="120" w:after="120"/>
              <w:ind w:left="57" w:right="57"/>
              <w:rPr>
                <w:color w:val="387026" w:themeColor="accent5" w:themeShade="80"/>
                <w:sz w:val="48"/>
                <w:szCs w:val="48"/>
              </w:rPr>
            </w:pPr>
            <w:r>
              <w:rPr>
                <w:i/>
                <w:sz w:val="20"/>
                <w:szCs w:val="20"/>
              </w:rPr>
              <w:t>H</w:t>
            </w:r>
            <w:r w:rsidRPr="00D4537B">
              <w:rPr>
                <w:i/>
                <w:sz w:val="20"/>
                <w:szCs w:val="20"/>
              </w:rPr>
              <w:t>atched bar</w:t>
            </w:r>
            <w:r>
              <w:rPr>
                <w:i/>
                <w:sz w:val="20"/>
                <w:szCs w:val="20"/>
              </w:rPr>
              <w:t>s</w:t>
            </w:r>
            <w:r w:rsidRPr="00D4537B">
              <w:rPr>
                <w:i/>
                <w:sz w:val="20"/>
                <w:szCs w:val="20"/>
              </w:rPr>
              <w:t xml:space="preserve"> show information for 2020 and solid bar</w:t>
            </w:r>
            <w:r>
              <w:rPr>
                <w:i/>
                <w:sz w:val="20"/>
                <w:szCs w:val="20"/>
              </w:rPr>
              <w:t>s</w:t>
            </w:r>
            <w:r w:rsidRPr="00D4537B">
              <w:rPr>
                <w:i/>
                <w:sz w:val="20"/>
                <w:szCs w:val="20"/>
              </w:rPr>
              <w:t xml:space="preserve"> show information for 2021.</w:t>
            </w:r>
          </w:p>
        </w:tc>
        <w:tc>
          <w:tcPr>
            <w:tcW w:w="5387" w:type="dxa"/>
            <w:tcBorders>
              <w:top w:val="single" w:sz="24" w:space="0" w:color="B0DFA0" w:themeColor="accent5" w:themeTint="99"/>
              <w:left w:val="single" w:sz="24" w:space="0" w:color="B0DFA0" w:themeColor="accent5" w:themeTint="99"/>
              <w:bottom w:val="single" w:sz="24" w:space="0" w:color="B0DFA0" w:themeColor="accent5" w:themeTint="99"/>
            </w:tcBorders>
          </w:tcPr>
          <w:p w14:paraId="37DB42D9" w14:textId="77777777" w:rsidR="00DB6605" w:rsidRPr="00103597" w:rsidRDefault="00DB6605" w:rsidP="006C6D7E">
            <w:pPr>
              <w:spacing w:before="120" w:after="120"/>
              <w:ind w:left="57" w:right="57"/>
              <w:jc w:val="center"/>
              <w:rPr>
                <w:color w:val="387026" w:themeColor="accent5" w:themeShade="80"/>
                <w:sz w:val="48"/>
                <w:szCs w:val="48"/>
              </w:rPr>
            </w:pPr>
            <w:r w:rsidRPr="00103597">
              <w:rPr>
                <w:noProof/>
              </w:rPr>
              <w:drawing>
                <wp:inline distT="0" distB="0" distL="0" distR="0" wp14:anchorId="4991B52F" wp14:editId="4D7E4BEA">
                  <wp:extent cx="3105150" cy="2352675"/>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DB6605" w14:paraId="23CA2A18" w14:textId="77777777" w:rsidTr="006C6D7E">
        <w:tc>
          <w:tcPr>
            <w:tcW w:w="5073" w:type="dxa"/>
            <w:tcBorders>
              <w:top w:val="single" w:sz="24" w:space="0" w:color="B0DFA0" w:themeColor="accent5" w:themeTint="99"/>
              <w:bottom w:val="single" w:sz="24" w:space="0" w:color="B0DFA0" w:themeColor="accent5" w:themeTint="99"/>
              <w:right w:val="single" w:sz="24" w:space="0" w:color="B0DFA0" w:themeColor="accent5" w:themeTint="99"/>
            </w:tcBorders>
          </w:tcPr>
          <w:p w14:paraId="2CFE2C9C" w14:textId="56D9BFF0" w:rsidR="00DB6605" w:rsidRPr="00103597" w:rsidRDefault="007E26D4" w:rsidP="006C6D7E">
            <w:pPr>
              <w:spacing w:before="120" w:after="120"/>
              <w:ind w:left="57" w:right="57"/>
              <w:jc w:val="center"/>
            </w:pPr>
            <w:r>
              <w:rPr>
                <w:color w:val="387026" w:themeColor="accent5" w:themeShade="80"/>
                <w:sz w:val="48"/>
                <w:szCs w:val="48"/>
              </w:rPr>
              <w:t>36</w:t>
            </w:r>
            <w:r w:rsidR="00DB6605" w:rsidRPr="00103597">
              <w:rPr>
                <w:color w:val="387026" w:themeColor="accent5" w:themeShade="80"/>
                <w:sz w:val="48"/>
                <w:szCs w:val="48"/>
              </w:rPr>
              <w:t xml:space="preserve"> events</w:t>
            </w:r>
            <w:r w:rsidR="00DB6605">
              <w:rPr>
                <w:color w:val="387026" w:themeColor="accent5" w:themeShade="80"/>
                <w:sz w:val="48"/>
                <w:szCs w:val="48"/>
              </w:rPr>
              <w:t xml:space="preserve"> where MEDIN represented</w:t>
            </w:r>
          </w:p>
        </w:tc>
        <w:tc>
          <w:tcPr>
            <w:tcW w:w="5387" w:type="dxa"/>
            <w:tcBorders>
              <w:top w:val="single" w:sz="24" w:space="0" w:color="B0DFA0" w:themeColor="accent5" w:themeTint="99"/>
              <w:left w:val="single" w:sz="24" w:space="0" w:color="B0DFA0" w:themeColor="accent5" w:themeTint="99"/>
            </w:tcBorders>
          </w:tcPr>
          <w:p w14:paraId="2E022820" w14:textId="77777777" w:rsidR="00DB6605" w:rsidRPr="00103597" w:rsidRDefault="00DB6605" w:rsidP="006C6D7E">
            <w:pPr>
              <w:spacing w:before="120" w:after="120"/>
              <w:ind w:left="57" w:right="57"/>
              <w:jc w:val="center"/>
            </w:pPr>
            <w:r w:rsidRPr="00103597">
              <w:rPr>
                <w:noProof/>
              </w:rPr>
              <w:drawing>
                <wp:inline distT="0" distB="0" distL="0" distR="0" wp14:anchorId="45AE9AAA" wp14:editId="7F463ED8">
                  <wp:extent cx="2971800" cy="238125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14:paraId="0F8B7D3B" w14:textId="77777777" w:rsidR="00F60558" w:rsidRDefault="00F60558" w:rsidP="00575D34">
      <w:pPr>
        <w:shd w:val="clear" w:color="auto" w:fill="FFFFFF"/>
        <w:spacing w:after="0" w:line="240" w:lineRule="auto"/>
        <w:rPr>
          <w:rFonts w:ascii="Calibri" w:eastAsia="Times New Roman" w:hAnsi="Calibri" w:cs="Calibri"/>
          <w:color w:val="323130"/>
          <w:lang w:eastAsia="en-GB"/>
        </w:rPr>
      </w:pPr>
      <w:r>
        <w:rPr>
          <w:rFonts w:eastAsia="Times New Roman"/>
          <w:noProof/>
          <w:lang w:eastAsia="en-GB"/>
        </w:rPr>
        <w:lastRenderedPageBreak/>
        <w:drawing>
          <wp:inline distT="0" distB="0" distL="0" distR="0" wp14:anchorId="2AF45E39" wp14:editId="798932FC">
            <wp:extent cx="6600825" cy="1885950"/>
            <wp:effectExtent l="0" t="38100" r="47625" b="5715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754FFDCC" w14:textId="77777777" w:rsidR="00342AB6" w:rsidRDefault="00342AB6" w:rsidP="00342AB6">
      <w:pPr>
        <w:pStyle w:val="Heading2"/>
        <w:rPr>
          <w:rFonts w:ascii="Calibri" w:eastAsia="Times New Roman" w:hAnsi="Calibri" w:cs="Calibri"/>
          <w:color w:val="323130"/>
          <w:lang w:eastAsia="en-GB"/>
        </w:rPr>
      </w:pPr>
      <w:r>
        <w:rPr>
          <w:rFonts w:eastAsia="Times New Roman"/>
          <w:lang w:eastAsia="en-GB"/>
        </w:rPr>
        <w:t>Available funds</w:t>
      </w:r>
      <w:r>
        <w:rPr>
          <w:rFonts w:ascii="Calibri" w:eastAsia="Times New Roman" w:hAnsi="Calibri" w:cs="Calibri"/>
          <w:color w:val="323130"/>
          <w:lang w:eastAsia="en-GB"/>
        </w:rPr>
        <w:t xml:space="preserve"> </w:t>
      </w:r>
    </w:p>
    <w:p w14:paraId="18C87240" w14:textId="52B1A797" w:rsidR="00F60558" w:rsidRDefault="00F906AF" w:rsidP="00575D34">
      <w:pPr>
        <w:shd w:val="clear" w:color="auto" w:fill="FFFFFF"/>
        <w:spacing w:after="0" w:line="240" w:lineRule="auto"/>
        <w:rPr>
          <w:rFonts w:ascii="Calibri" w:eastAsia="Times New Roman" w:hAnsi="Calibri" w:cs="Calibri"/>
          <w:color w:val="323130"/>
          <w:lang w:eastAsia="en-GB"/>
        </w:rPr>
      </w:pPr>
      <w:r>
        <w:rPr>
          <w:rFonts w:ascii="Calibri" w:eastAsia="Times New Roman" w:hAnsi="Calibri" w:cs="Calibri"/>
          <w:color w:val="323130"/>
          <w:lang w:eastAsia="en-GB"/>
        </w:rPr>
        <w:t>MEDIN is a collaborative initiative that attracts sponsorship from like</w:t>
      </w:r>
      <w:r w:rsidR="007A3B5F">
        <w:rPr>
          <w:rFonts w:ascii="Calibri" w:eastAsia="Times New Roman" w:hAnsi="Calibri" w:cs="Calibri"/>
          <w:color w:val="323130"/>
          <w:lang w:eastAsia="en-GB"/>
        </w:rPr>
        <w:t>-</w:t>
      </w:r>
      <w:r>
        <w:rPr>
          <w:rFonts w:ascii="Calibri" w:eastAsia="Times New Roman" w:hAnsi="Calibri" w:cs="Calibri"/>
          <w:color w:val="323130"/>
          <w:lang w:eastAsia="en-GB"/>
        </w:rPr>
        <w:t xml:space="preserve">minded organisations that recognise the </w:t>
      </w:r>
      <w:r w:rsidR="00C021A7">
        <w:rPr>
          <w:rFonts w:ascii="Calibri" w:eastAsia="Times New Roman" w:hAnsi="Calibri" w:cs="Calibri"/>
          <w:color w:val="323130"/>
          <w:lang w:eastAsia="en-GB"/>
        </w:rPr>
        <w:t xml:space="preserve">scientific, environmental and financial </w:t>
      </w:r>
      <w:r>
        <w:rPr>
          <w:rFonts w:ascii="Calibri" w:eastAsia="Times New Roman" w:hAnsi="Calibri" w:cs="Calibri"/>
          <w:color w:val="323130"/>
          <w:lang w:eastAsia="en-GB"/>
        </w:rPr>
        <w:t xml:space="preserve">benefits of providing </w:t>
      </w:r>
      <w:r w:rsidR="00C021A7">
        <w:rPr>
          <w:rFonts w:ascii="Calibri" w:eastAsia="Times New Roman" w:hAnsi="Calibri" w:cs="Calibri"/>
          <w:color w:val="323130"/>
          <w:lang w:eastAsia="en-GB"/>
        </w:rPr>
        <w:t xml:space="preserve">a coordinated, </w:t>
      </w:r>
      <w:r>
        <w:rPr>
          <w:rFonts w:ascii="Calibri" w:eastAsia="Times New Roman" w:hAnsi="Calibri" w:cs="Calibri"/>
          <w:color w:val="323130"/>
          <w:lang w:eastAsia="en-GB"/>
        </w:rPr>
        <w:t xml:space="preserve">national framework for managing the UK’s </w:t>
      </w:r>
      <w:r w:rsidR="00C021A7">
        <w:rPr>
          <w:rFonts w:ascii="Calibri" w:eastAsia="Times New Roman" w:hAnsi="Calibri" w:cs="Calibri"/>
          <w:color w:val="323130"/>
          <w:lang w:eastAsia="en-GB"/>
        </w:rPr>
        <w:t xml:space="preserve">valuable and unique </w:t>
      </w:r>
      <w:r>
        <w:rPr>
          <w:rFonts w:ascii="Calibri" w:eastAsia="Times New Roman" w:hAnsi="Calibri" w:cs="Calibri"/>
          <w:color w:val="323130"/>
          <w:lang w:eastAsia="en-GB"/>
        </w:rPr>
        <w:t>marine data</w:t>
      </w:r>
      <w:r w:rsidR="00C021A7">
        <w:rPr>
          <w:rFonts w:ascii="Calibri" w:eastAsia="Times New Roman" w:hAnsi="Calibri" w:cs="Calibri"/>
          <w:color w:val="323130"/>
          <w:lang w:eastAsia="en-GB"/>
        </w:rPr>
        <w:t xml:space="preserve"> resources</w:t>
      </w:r>
      <w:r>
        <w:rPr>
          <w:rFonts w:ascii="Calibri" w:eastAsia="Times New Roman" w:hAnsi="Calibri" w:cs="Calibri"/>
          <w:color w:val="323130"/>
          <w:lang w:eastAsia="en-GB"/>
        </w:rPr>
        <w:t xml:space="preserve">. </w:t>
      </w:r>
      <w:r w:rsidR="00C021A7">
        <w:rPr>
          <w:rFonts w:ascii="Calibri" w:eastAsia="Times New Roman" w:hAnsi="Calibri" w:cs="Calibri"/>
          <w:color w:val="323130"/>
          <w:lang w:eastAsia="en-GB"/>
        </w:rPr>
        <w:t>£</w:t>
      </w:r>
      <w:r w:rsidR="00E55182">
        <w:rPr>
          <w:rFonts w:ascii="Calibri" w:eastAsia="Times New Roman" w:hAnsi="Calibri" w:cs="Calibri"/>
          <w:color w:val="323130"/>
          <w:lang w:eastAsia="en-GB"/>
        </w:rPr>
        <w:t>611,463</w:t>
      </w:r>
      <w:r w:rsidR="00C021A7">
        <w:rPr>
          <w:rFonts w:ascii="Calibri" w:eastAsia="Times New Roman" w:hAnsi="Calibri" w:cs="Calibri"/>
          <w:color w:val="323130"/>
          <w:lang w:eastAsia="en-GB"/>
        </w:rPr>
        <w:t xml:space="preserve"> </w:t>
      </w:r>
      <w:r>
        <w:rPr>
          <w:rFonts w:ascii="Calibri" w:eastAsia="Times New Roman" w:hAnsi="Calibri" w:cs="Calibri"/>
          <w:color w:val="323130"/>
          <w:lang w:eastAsia="en-GB"/>
        </w:rPr>
        <w:t xml:space="preserve">was available to fund MEDIN activities in </w:t>
      </w:r>
      <w:r w:rsidR="00EB4903">
        <w:rPr>
          <w:rFonts w:ascii="Calibri" w:eastAsia="Times New Roman" w:hAnsi="Calibri" w:cs="Calibri"/>
          <w:color w:val="323130"/>
          <w:lang w:eastAsia="en-GB"/>
        </w:rPr>
        <w:t>2020-21</w:t>
      </w:r>
      <w:r w:rsidR="00C021A7">
        <w:rPr>
          <w:rFonts w:ascii="Calibri" w:eastAsia="Times New Roman" w:hAnsi="Calibri" w:cs="Calibri"/>
          <w:color w:val="323130"/>
          <w:lang w:eastAsia="en-GB"/>
        </w:rPr>
        <w:t>: £507,000</w:t>
      </w:r>
      <w:r>
        <w:rPr>
          <w:rFonts w:ascii="Calibri" w:eastAsia="Times New Roman" w:hAnsi="Calibri" w:cs="Calibri"/>
          <w:color w:val="323130"/>
          <w:lang w:eastAsia="en-GB"/>
        </w:rPr>
        <w:t xml:space="preserve"> from the consortium of </w:t>
      </w:r>
      <w:r w:rsidR="00E1011E">
        <w:rPr>
          <w:rFonts w:ascii="Calibri" w:eastAsia="Times New Roman" w:hAnsi="Calibri" w:cs="Calibri"/>
          <w:color w:val="323130"/>
          <w:lang w:eastAsia="en-GB"/>
        </w:rPr>
        <w:t>15</w:t>
      </w:r>
      <w:r w:rsidR="00C021A7">
        <w:rPr>
          <w:rFonts w:ascii="Calibri" w:eastAsia="Times New Roman" w:hAnsi="Calibri" w:cs="Calibri"/>
          <w:color w:val="323130"/>
          <w:lang w:eastAsia="en-GB"/>
        </w:rPr>
        <w:t xml:space="preserve"> </w:t>
      </w:r>
      <w:r>
        <w:rPr>
          <w:rFonts w:ascii="Calibri" w:eastAsia="Times New Roman" w:hAnsi="Calibri" w:cs="Calibri"/>
          <w:color w:val="323130"/>
          <w:lang w:eastAsia="en-GB"/>
        </w:rPr>
        <w:t>sponsors, in addition to £</w:t>
      </w:r>
      <w:r w:rsidR="00E55182">
        <w:rPr>
          <w:rFonts w:ascii="Calibri" w:eastAsia="Times New Roman" w:hAnsi="Calibri" w:cs="Calibri"/>
          <w:color w:val="323130"/>
          <w:lang w:eastAsia="en-GB"/>
        </w:rPr>
        <w:t>89,863</w:t>
      </w:r>
      <w:r>
        <w:rPr>
          <w:rFonts w:ascii="Calibri" w:eastAsia="Times New Roman" w:hAnsi="Calibri" w:cs="Calibri"/>
          <w:color w:val="323130"/>
          <w:lang w:eastAsia="en-GB"/>
        </w:rPr>
        <w:t xml:space="preserve"> carried over from previous years</w:t>
      </w:r>
      <w:r w:rsidR="00E55182">
        <w:rPr>
          <w:rFonts w:ascii="Calibri" w:eastAsia="Times New Roman" w:hAnsi="Calibri" w:cs="Calibri"/>
          <w:color w:val="323130"/>
          <w:lang w:eastAsia="en-GB"/>
        </w:rPr>
        <w:t xml:space="preserve"> and £14,600 funding from Defra for a special pro</w:t>
      </w:r>
      <w:r w:rsidR="005D7F51">
        <w:rPr>
          <w:rFonts w:ascii="Calibri" w:eastAsia="Times New Roman" w:hAnsi="Calibri" w:cs="Calibri"/>
          <w:color w:val="323130"/>
          <w:lang w:eastAsia="en-GB"/>
        </w:rPr>
        <w:t>j</w:t>
      </w:r>
      <w:r w:rsidR="00E55182">
        <w:rPr>
          <w:rFonts w:ascii="Calibri" w:eastAsia="Times New Roman" w:hAnsi="Calibri" w:cs="Calibri"/>
          <w:color w:val="323130"/>
          <w:lang w:eastAsia="en-GB"/>
        </w:rPr>
        <w:t>ect</w:t>
      </w:r>
      <w:r w:rsidR="00C021A7">
        <w:rPr>
          <w:rFonts w:ascii="Calibri" w:eastAsia="Times New Roman" w:hAnsi="Calibri" w:cs="Calibri"/>
          <w:color w:val="323130"/>
          <w:lang w:eastAsia="en-GB"/>
        </w:rPr>
        <w:t xml:space="preserve">. </w:t>
      </w:r>
    </w:p>
    <w:p w14:paraId="5CD3AD88" w14:textId="77777777" w:rsidR="00342AB6" w:rsidRDefault="00342AB6" w:rsidP="00575D34">
      <w:pPr>
        <w:shd w:val="clear" w:color="auto" w:fill="FFFFFF"/>
        <w:spacing w:after="0" w:line="240" w:lineRule="auto"/>
        <w:rPr>
          <w:rFonts w:ascii="Calibri" w:eastAsia="Times New Roman" w:hAnsi="Calibri" w:cs="Calibri"/>
          <w:color w:val="323130"/>
          <w:lang w:eastAsia="en-GB"/>
        </w:rPr>
      </w:pPr>
    </w:p>
    <w:tbl>
      <w:tblPr>
        <w:tblStyle w:val="TableGrid"/>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2693"/>
      </w:tblGrid>
      <w:tr w:rsidR="006F3D31" w:rsidRPr="00D71476" w14:paraId="7C30FFC4" w14:textId="77777777" w:rsidTr="001A3DE8">
        <w:tc>
          <w:tcPr>
            <w:tcW w:w="8075" w:type="dxa"/>
            <w:tcBorders>
              <w:bottom w:val="double" w:sz="4" w:space="0" w:color="089BA2" w:themeColor="accent3" w:themeShade="BF"/>
            </w:tcBorders>
            <w:vAlign w:val="center"/>
          </w:tcPr>
          <w:p w14:paraId="3FB521A8" w14:textId="77777777" w:rsidR="006F3D31" w:rsidRPr="00D71476" w:rsidRDefault="006F3D31" w:rsidP="006F3D31">
            <w:pPr>
              <w:rPr>
                <w:sz w:val="18"/>
                <w:szCs w:val="18"/>
                <w:lang w:eastAsia="en-GB"/>
              </w:rPr>
            </w:pPr>
            <w:r w:rsidRPr="00D71476">
              <w:rPr>
                <w:rFonts w:cstheme="minorHAnsi"/>
                <w:b/>
                <w:bCs/>
                <w:sz w:val="18"/>
                <w:szCs w:val="18"/>
              </w:rPr>
              <w:t>Sponsor Name</w:t>
            </w:r>
          </w:p>
        </w:tc>
        <w:tc>
          <w:tcPr>
            <w:tcW w:w="2693" w:type="dxa"/>
            <w:tcBorders>
              <w:bottom w:val="double" w:sz="4" w:space="0" w:color="089BA2" w:themeColor="accent3" w:themeShade="BF"/>
            </w:tcBorders>
            <w:vAlign w:val="center"/>
          </w:tcPr>
          <w:p w14:paraId="22D90F69" w14:textId="77777777" w:rsidR="006F3D31" w:rsidRPr="00D71476" w:rsidRDefault="006F3D31" w:rsidP="00770BE5">
            <w:pPr>
              <w:jc w:val="right"/>
              <w:rPr>
                <w:sz w:val="18"/>
                <w:szCs w:val="18"/>
                <w:lang w:eastAsia="en-GB"/>
              </w:rPr>
            </w:pPr>
            <w:r w:rsidRPr="00D71476">
              <w:rPr>
                <w:rFonts w:cstheme="minorHAnsi"/>
                <w:b/>
                <w:bCs/>
                <w:sz w:val="18"/>
                <w:szCs w:val="18"/>
              </w:rPr>
              <w:t xml:space="preserve">Funding level for </w:t>
            </w:r>
            <w:r w:rsidR="00EB4903">
              <w:rPr>
                <w:rFonts w:cstheme="minorHAnsi"/>
                <w:b/>
                <w:bCs/>
                <w:sz w:val="18"/>
                <w:szCs w:val="18"/>
              </w:rPr>
              <w:t>2020-21</w:t>
            </w:r>
          </w:p>
        </w:tc>
      </w:tr>
      <w:tr w:rsidR="00E55182" w:rsidRPr="00D71476" w14:paraId="34339F87" w14:textId="77777777" w:rsidTr="001A3DE8">
        <w:tc>
          <w:tcPr>
            <w:tcW w:w="8075" w:type="dxa"/>
            <w:tcBorders>
              <w:top w:val="double" w:sz="4" w:space="0" w:color="089BA2" w:themeColor="accent3" w:themeShade="BF"/>
            </w:tcBorders>
            <w:vAlign w:val="center"/>
          </w:tcPr>
          <w:p w14:paraId="7ED0ED1F" w14:textId="1C413839" w:rsidR="00E55182" w:rsidRPr="00E55182" w:rsidRDefault="00E55182" w:rsidP="00E55182">
            <w:pPr>
              <w:rPr>
                <w:sz w:val="18"/>
                <w:szCs w:val="18"/>
                <w:lang w:eastAsia="en-GB"/>
              </w:rPr>
            </w:pPr>
            <w:r w:rsidRPr="00E55182">
              <w:rPr>
                <w:rFonts w:ascii="Calibri" w:hAnsi="Calibri" w:cstheme="minorHAnsi"/>
                <w:color w:val="000000"/>
                <w:sz w:val="18"/>
                <w:szCs w:val="18"/>
              </w:rPr>
              <w:t>DEFRA: Department of Environment Food and Rural Affairs</w:t>
            </w:r>
          </w:p>
        </w:tc>
        <w:tc>
          <w:tcPr>
            <w:tcW w:w="2693" w:type="dxa"/>
            <w:tcBorders>
              <w:top w:val="double" w:sz="4" w:space="0" w:color="089BA2" w:themeColor="accent3" w:themeShade="BF"/>
            </w:tcBorders>
            <w:vAlign w:val="center"/>
          </w:tcPr>
          <w:p w14:paraId="3025C642" w14:textId="0D169895" w:rsidR="00E55182" w:rsidRPr="00E55182" w:rsidRDefault="00E55182" w:rsidP="00E55182">
            <w:pPr>
              <w:jc w:val="right"/>
              <w:rPr>
                <w:sz w:val="18"/>
                <w:szCs w:val="18"/>
                <w:lang w:eastAsia="en-GB"/>
              </w:rPr>
            </w:pPr>
            <w:r w:rsidRPr="00E55182">
              <w:rPr>
                <w:rFonts w:ascii="Calibri" w:hAnsi="Calibri" w:cs="Calibri"/>
                <w:color w:val="000000"/>
                <w:sz w:val="18"/>
                <w:szCs w:val="18"/>
              </w:rPr>
              <w:t>£175,000</w:t>
            </w:r>
          </w:p>
        </w:tc>
      </w:tr>
      <w:tr w:rsidR="00E55182" w:rsidRPr="00D71476" w14:paraId="05CA7D6F" w14:textId="77777777" w:rsidTr="001A3DE8">
        <w:tc>
          <w:tcPr>
            <w:tcW w:w="8075" w:type="dxa"/>
            <w:vAlign w:val="center"/>
          </w:tcPr>
          <w:p w14:paraId="3B7BD7CF" w14:textId="41358FDE" w:rsidR="00E55182" w:rsidRPr="00E55182" w:rsidRDefault="00E55182" w:rsidP="00E55182">
            <w:pPr>
              <w:rPr>
                <w:sz w:val="18"/>
                <w:szCs w:val="18"/>
                <w:lang w:eastAsia="en-GB"/>
              </w:rPr>
            </w:pPr>
            <w:r w:rsidRPr="00E55182">
              <w:rPr>
                <w:rFonts w:ascii="Calibri" w:hAnsi="Calibri" w:cstheme="minorHAnsi"/>
                <w:color w:val="000000"/>
                <w:sz w:val="18"/>
                <w:szCs w:val="18"/>
              </w:rPr>
              <w:t>NOC: National Oceanography Centre</w:t>
            </w:r>
            <w:r>
              <w:rPr>
                <w:rFonts w:ascii="Calibri" w:hAnsi="Calibri" w:cstheme="minorHAnsi"/>
                <w:color w:val="000000"/>
                <w:sz w:val="18"/>
                <w:szCs w:val="18"/>
              </w:rPr>
              <w:t>/</w:t>
            </w:r>
            <w:r w:rsidRPr="00E55182">
              <w:rPr>
                <w:rFonts w:ascii="Calibri" w:hAnsi="Calibri" w:cstheme="minorHAnsi"/>
                <w:color w:val="000000"/>
                <w:sz w:val="18"/>
                <w:szCs w:val="18"/>
              </w:rPr>
              <w:t>NERC: Natural Environment Research Council</w:t>
            </w:r>
          </w:p>
        </w:tc>
        <w:tc>
          <w:tcPr>
            <w:tcW w:w="2693" w:type="dxa"/>
            <w:vAlign w:val="center"/>
          </w:tcPr>
          <w:p w14:paraId="1912EAE8" w14:textId="0A4F6748" w:rsidR="00E55182" w:rsidRPr="00E55182" w:rsidRDefault="00E55182" w:rsidP="00E55182">
            <w:pPr>
              <w:jc w:val="right"/>
              <w:rPr>
                <w:sz w:val="18"/>
                <w:szCs w:val="18"/>
                <w:lang w:eastAsia="en-GB"/>
              </w:rPr>
            </w:pPr>
            <w:r w:rsidRPr="00E55182">
              <w:rPr>
                <w:rFonts w:ascii="Calibri" w:hAnsi="Calibri" w:cs="Calibri"/>
                <w:color w:val="000000"/>
                <w:sz w:val="18"/>
                <w:szCs w:val="18"/>
              </w:rPr>
              <w:t>£131,000</w:t>
            </w:r>
          </w:p>
        </w:tc>
      </w:tr>
      <w:tr w:rsidR="00E55182" w:rsidRPr="00D71476" w14:paraId="36C28653" w14:textId="77777777" w:rsidTr="001A3DE8">
        <w:tc>
          <w:tcPr>
            <w:tcW w:w="8075" w:type="dxa"/>
            <w:vAlign w:val="center"/>
          </w:tcPr>
          <w:p w14:paraId="443AB2D0" w14:textId="2339E902" w:rsidR="00E55182" w:rsidRPr="00E55182" w:rsidRDefault="00E55182" w:rsidP="00E55182">
            <w:pPr>
              <w:rPr>
                <w:sz w:val="18"/>
                <w:szCs w:val="18"/>
                <w:lang w:eastAsia="en-GB"/>
              </w:rPr>
            </w:pPr>
            <w:r w:rsidRPr="00E55182">
              <w:rPr>
                <w:rFonts w:ascii="Calibri" w:hAnsi="Calibri" w:cstheme="minorHAnsi"/>
                <w:color w:val="000000"/>
                <w:sz w:val="18"/>
                <w:szCs w:val="18"/>
              </w:rPr>
              <w:t>Scottish Government</w:t>
            </w:r>
          </w:p>
        </w:tc>
        <w:tc>
          <w:tcPr>
            <w:tcW w:w="2693" w:type="dxa"/>
            <w:vAlign w:val="center"/>
          </w:tcPr>
          <w:p w14:paraId="1AEAA4D7" w14:textId="7FACBFE0" w:rsidR="00E55182" w:rsidRPr="00E55182" w:rsidRDefault="00E55182" w:rsidP="00E55182">
            <w:pPr>
              <w:jc w:val="right"/>
              <w:rPr>
                <w:sz w:val="18"/>
                <w:szCs w:val="18"/>
                <w:lang w:eastAsia="en-GB"/>
              </w:rPr>
            </w:pPr>
            <w:r w:rsidRPr="00E55182">
              <w:rPr>
                <w:rFonts w:ascii="Calibri" w:hAnsi="Calibri" w:cs="Calibri"/>
                <w:color w:val="000000"/>
                <w:sz w:val="18"/>
                <w:szCs w:val="18"/>
              </w:rPr>
              <w:t>£82,000</w:t>
            </w:r>
          </w:p>
        </w:tc>
      </w:tr>
      <w:tr w:rsidR="00E55182" w:rsidRPr="00D71476" w14:paraId="284953C3" w14:textId="77777777" w:rsidTr="001A3DE8">
        <w:tc>
          <w:tcPr>
            <w:tcW w:w="8075" w:type="dxa"/>
            <w:vAlign w:val="center"/>
          </w:tcPr>
          <w:p w14:paraId="5FA7FD29" w14:textId="2149DF86" w:rsidR="00E55182" w:rsidRPr="00E55182" w:rsidRDefault="00E55182" w:rsidP="00E55182">
            <w:pPr>
              <w:rPr>
                <w:sz w:val="18"/>
                <w:szCs w:val="18"/>
                <w:lang w:eastAsia="en-GB"/>
              </w:rPr>
            </w:pPr>
            <w:r w:rsidRPr="00E55182">
              <w:rPr>
                <w:rFonts w:ascii="Calibri" w:hAnsi="Calibri" w:cstheme="minorHAnsi"/>
                <w:color w:val="000000"/>
                <w:sz w:val="18"/>
                <w:szCs w:val="18"/>
              </w:rPr>
              <w:t>BEIS: Department of Business, Energy and Industrial Strategy</w:t>
            </w:r>
          </w:p>
        </w:tc>
        <w:tc>
          <w:tcPr>
            <w:tcW w:w="2693" w:type="dxa"/>
            <w:vAlign w:val="center"/>
          </w:tcPr>
          <w:p w14:paraId="4AA7F405" w14:textId="2A10E7EE" w:rsidR="00E55182" w:rsidRPr="00E55182" w:rsidRDefault="00E55182" w:rsidP="00E55182">
            <w:pPr>
              <w:jc w:val="right"/>
              <w:rPr>
                <w:sz w:val="18"/>
                <w:szCs w:val="18"/>
                <w:lang w:eastAsia="en-GB"/>
              </w:rPr>
            </w:pPr>
            <w:r w:rsidRPr="00E55182">
              <w:rPr>
                <w:rFonts w:ascii="Calibri" w:hAnsi="Calibri" w:cs="Calibri"/>
                <w:color w:val="000000"/>
                <w:sz w:val="18"/>
                <w:szCs w:val="18"/>
              </w:rPr>
              <w:t>£30,000</w:t>
            </w:r>
          </w:p>
        </w:tc>
      </w:tr>
      <w:tr w:rsidR="00E55182" w:rsidRPr="00D71476" w14:paraId="562F1BB2" w14:textId="77777777" w:rsidTr="001A3DE8">
        <w:tc>
          <w:tcPr>
            <w:tcW w:w="8075" w:type="dxa"/>
            <w:vAlign w:val="center"/>
          </w:tcPr>
          <w:p w14:paraId="201F218E" w14:textId="659E5D8A" w:rsidR="00E55182" w:rsidRPr="00E55182" w:rsidRDefault="00E55182" w:rsidP="00E55182">
            <w:pPr>
              <w:rPr>
                <w:sz w:val="18"/>
                <w:szCs w:val="18"/>
                <w:lang w:eastAsia="en-GB"/>
              </w:rPr>
            </w:pPr>
            <w:r w:rsidRPr="00E55182">
              <w:rPr>
                <w:rFonts w:ascii="Calibri" w:hAnsi="Calibri" w:cstheme="minorHAnsi"/>
                <w:color w:val="000000"/>
                <w:sz w:val="18"/>
                <w:szCs w:val="18"/>
              </w:rPr>
              <w:t>UK Hydrographic Office</w:t>
            </w:r>
          </w:p>
        </w:tc>
        <w:tc>
          <w:tcPr>
            <w:tcW w:w="2693" w:type="dxa"/>
            <w:vAlign w:val="center"/>
          </w:tcPr>
          <w:p w14:paraId="65570386" w14:textId="07776D4C" w:rsidR="00E55182" w:rsidRPr="00E55182" w:rsidRDefault="00E55182" w:rsidP="00E55182">
            <w:pPr>
              <w:jc w:val="right"/>
              <w:rPr>
                <w:sz w:val="18"/>
                <w:szCs w:val="18"/>
                <w:lang w:eastAsia="en-GB"/>
              </w:rPr>
            </w:pPr>
            <w:r w:rsidRPr="00E55182">
              <w:rPr>
                <w:rFonts w:ascii="Calibri" w:hAnsi="Calibri" w:cs="Calibri"/>
                <w:color w:val="000000"/>
                <w:sz w:val="18"/>
                <w:szCs w:val="18"/>
              </w:rPr>
              <w:t>£19,000</w:t>
            </w:r>
          </w:p>
        </w:tc>
      </w:tr>
      <w:tr w:rsidR="00E55182" w:rsidRPr="00D71476" w14:paraId="5A43FB37" w14:textId="77777777" w:rsidTr="001A3DE8">
        <w:tc>
          <w:tcPr>
            <w:tcW w:w="8075" w:type="dxa"/>
            <w:vAlign w:val="center"/>
          </w:tcPr>
          <w:p w14:paraId="68466AB5" w14:textId="0BA8C13F" w:rsidR="00E55182" w:rsidRPr="00E55182" w:rsidRDefault="00E55182" w:rsidP="00E55182">
            <w:pPr>
              <w:rPr>
                <w:sz w:val="18"/>
                <w:szCs w:val="18"/>
                <w:lang w:eastAsia="en-GB"/>
              </w:rPr>
            </w:pPr>
            <w:r w:rsidRPr="00E55182">
              <w:rPr>
                <w:rFonts w:ascii="Calibri" w:hAnsi="Calibri" w:cstheme="minorHAnsi"/>
                <w:color w:val="000000"/>
                <w:sz w:val="18"/>
                <w:szCs w:val="18"/>
              </w:rPr>
              <w:t>Met. Office</w:t>
            </w:r>
          </w:p>
        </w:tc>
        <w:tc>
          <w:tcPr>
            <w:tcW w:w="2693" w:type="dxa"/>
            <w:vAlign w:val="center"/>
          </w:tcPr>
          <w:p w14:paraId="707882EF" w14:textId="640A500C" w:rsidR="00E55182" w:rsidRPr="00E55182" w:rsidRDefault="00E55182" w:rsidP="00E55182">
            <w:pPr>
              <w:jc w:val="right"/>
              <w:rPr>
                <w:sz w:val="18"/>
                <w:szCs w:val="18"/>
                <w:lang w:eastAsia="en-GB"/>
              </w:rPr>
            </w:pPr>
            <w:r w:rsidRPr="00E55182">
              <w:rPr>
                <w:rFonts w:ascii="Calibri" w:hAnsi="Calibri" w:cs="Calibri"/>
                <w:color w:val="000000"/>
                <w:sz w:val="18"/>
                <w:szCs w:val="18"/>
              </w:rPr>
              <w:t>£14,000</w:t>
            </w:r>
          </w:p>
        </w:tc>
      </w:tr>
      <w:tr w:rsidR="00E55182" w:rsidRPr="00D71476" w14:paraId="74FDD01A" w14:textId="77777777" w:rsidTr="001A3DE8">
        <w:tc>
          <w:tcPr>
            <w:tcW w:w="8075" w:type="dxa"/>
            <w:vAlign w:val="center"/>
          </w:tcPr>
          <w:p w14:paraId="7D095880" w14:textId="7AADC51B" w:rsidR="00E55182" w:rsidRPr="00E55182" w:rsidRDefault="00E55182" w:rsidP="00E55182">
            <w:pPr>
              <w:rPr>
                <w:sz w:val="18"/>
                <w:szCs w:val="18"/>
                <w:lang w:eastAsia="en-GB"/>
              </w:rPr>
            </w:pPr>
            <w:r w:rsidRPr="00E55182">
              <w:rPr>
                <w:rFonts w:ascii="Calibri" w:hAnsi="Calibri" w:cstheme="minorHAnsi"/>
                <w:color w:val="000000"/>
                <w:sz w:val="18"/>
                <w:szCs w:val="18"/>
              </w:rPr>
              <w:t>Cyfoeth Naturiol Cymru / Natural Resources Wales</w:t>
            </w:r>
          </w:p>
        </w:tc>
        <w:tc>
          <w:tcPr>
            <w:tcW w:w="2693" w:type="dxa"/>
            <w:vAlign w:val="center"/>
          </w:tcPr>
          <w:p w14:paraId="6A951970" w14:textId="776F9A76" w:rsidR="00E55182" w:rsidRPr="00E55182" w:rsidRDefault="00E55182" w:rsidP="00E55182">
            <w:pPr>
              <w:jc w:val="right"/>
              <w:rPr>
                <w:sz w:val="18"/>
                <w:szCs w:val="18"/>
                <w:lang w:eastAsia="en-GB"/>
              </w:rPr>
            </w:pPr>
            <w:r w:rsidRPr="00E55182">
              <w:rPr>
                <w:rFonts w:ascii="Calibri" w:hAnsi="Calibri" w:cs="Calibri"/>
                <w:color w:val="000000"/>
                <w:sz w:val="18"/>
                <w:szCs w:val="18"/>
              </w:rPr>
              <w:t>£14,000</w:t>
            </w:r>
          </w:p>
        </w:tc>
      </w:tr>
      <w:tr w:rsidR="00E55182" w:rsidRPr="00D71476" w14:paraId="2894CB7D" w14:textId="77777777" w:rsidTr="001A3DE8">
        <w:tc>
          <w:tcPr>
            <w:tcW w:w="8075" w:type="dxa"/>
            <w:vAlign w:val="center"/>
          </w:tcPr>
          <w:p w14:paraId="48255D4C" w14:textId="0F85923D" w:rsidR="00E55182" w:rsidRPr="00E55182" w:rsidRDefault="00E55182" w:rsidP="00E55182">
            <w:pPr>
              <w:rPr>
                <w:sz w:val="18"/>
                <w:szCs w:val="18"/>
                <w:lang w:eastAsia="en-GB"/>
              </w:rPr>
            </w:pPr>
            <w:r w:rsidRPr="00E55182">
              <w:rPr>
                <w:rFonts w:ascii="Calibri" w:hAnsi="Calibri" w:cstheme="minorHAnsi"/>
                <w:color w:val="000000"/>
                <w:sz w:val="18"/>
                <w:szCs w:val="18"/>
              </w:rPr>
              <w:t>The Crown Estate</w:t>
            </w:r>
          </w:p>
        </w:tc>
        <w:tc>
          <w:tcPr>
            <w:tcW w:w="2693" w:type="dxa"/>
            <w:vAlign w:val="center"/>
          </w:tcPr>
          <w:p w14:paraId="5C78FD28" w14:textId="1247DAE5" w:rsidR="00E55182" w:rsidRPr="00E55182" w:rsidRDefault="00E55182" w:rsidP="00E55182">
            <w:pPr>
              <w:jc w:val="right"/>
              <w:rPr>
                <w:sz w:val="18"/>
                <w:szCs w:val="18"/>
                <w:lang w:eastAsia="en-GB"/>
              </w:rPr>
            </w:pPr>
            <w:r w:rsidRPr="00E55182">
              <w:rPr>
                <w:rFonts w:ascii="Calibri" w:hAnsi="Calibri" w:cs="Calibri"/>
                <w:color w:val="000000"/>
                <w:sz w:val="18"/>
                <w:szCs w:val="18"/>
              </w:rPr>
              <w:t>£10,000</w:t>
            </w:r>
          </w:p>
        </w:tc>
      </w:tr>
      <w:tr w:rsidR="00E55182" w:rsidRPr="00D71476" w14:paraId="6AB285D4" w14:textId="77777777" w:rsidTr="001A3DE8">
        <w:tc>
          <w:tcPr>
            <w:tcW w:w="8075" w:type="dxa"/>
            <w:vAlign w:val="center"/>
          </w:tcPr>
          <w:p w14:paraId="6F4F39B9" w14:textId="69A54786" w:rsidR="00E55182" w:rsidRPr="00E55182" w:rsidRDefault="00E55182" w:rsidP="00E55182">
            <w:pPr>
              <w:rPr>
                <w:sz w:val="18"/>
                <w:szCs w:val="18"/>
                <w:lang w:eastAsia="en-GB"/>
              </w:rPr>
            </w:pPr>
            <w:r w:rsidRPr="00E55182">
              <w:rPr>
                <w:rFonts w:ascii="Calibri" w:hAnsi="Calibri" w:cstheme="minorHAnsi"/>
                <w:color w:val="000000"/>
                <w:sz w:val="18"/>
                <w:szCs w:val="18"/>
              </w:rPr>
              <w:t>Maritime and Coastguard Agency</w:t>
            </w:r>
          </w:p>
        </w:tc>
        <w:tc>
          <w:tcPr>
            <w:tcW w:w="2693" w:type="dxa"/>
            <w:vAlign w:val="center"/>
          </w:tcPr>
          <w:p w14:paraId="4D665AB4" w14:textId="04B5D2B3" w:rsidR="00E55182" w:rsidRPr="00E55182" w:rsidRDefault="00E55182" w:rsidP="00E55182">
            <w:pPr>
              <w:jc w:val="right"/>
              <w:rPr>
                <w:sz w:val="18"/>
                <w:szCs w:val="18"/>
                <w:lang w:eastAsia="en-GB"/>
              </w:rPr>
            </w:pPr>
            <w:r w:rsidRPr="00E55182">
              <w:rPr>
                <w:rFonts w:ascii="Calibri" w:hAnsi="Calibri" w:cs="Calibri"/>
                <w:color w:val="000000"/>
                <w:sz w:val="18"/>
                <w:szCs w:val="18"/>
              </w:rPr>
              <w:t>£7,000</w:t>
            </w:r>
          </w:p>
        </w:tc>
      </w:tr>
      <w:tr w:rsidR="00E55182" w:rsidRPr="00D71476" w14:paraId="11C36F61" w14:textId="77777777" w:rsidTr="001A3DE8">
        <w:tc>
          <w:tcPr>
            <w:tcW w:w="8075" w:type="dxa"/>
            <w:vAlign w:val="center"/>
          </w:tcPr>
          <w:p w14:paraId="5DC4F912" w14:textId="4E60C989" w:rsidR="00E55182" w:rsidRPr="00E55182" w:rsidRDefault="00E55182" w:rsidP="00E55182">
            <w:pPr>
              <w:rPr>
                <w:sz w:val="18"/>
                <w:szCs w:val="18"/>
                <w:lang w:eastAsia="en-GB"/>
              </w:rPr>
            </w:pPr>
            <w:r w:rsidRPr="00E55182">
              <w:rPr>
                <w:rFonts w:ascii="Calibri" w:hAnsi="Calibri" w:cstheme="minorHAnsi"/>
                <w:color w:val="000000"/>
                <w:sz w:val="18"/>
                <w:szCs w:val="18"/>
              </w:rPr>
              <w:t>OceanWise</w:t>
            </w:r>
          </w:p>
        </w:tc>
        <w:tc>
          <w:tcPr>
            <w:tcW w:w="2693" w:type="dxa"/>
            <w:vAlign w:val="center"/>
          </w:tcPr>
          <w:p w14:paraId="68940652" w14:textId="7220628F" w:rsidR="00E55182" w:rsidRPr="00E55182" w:rsidRDefault="00E55182" w:rsidP="00E55182">
            <w:pPr>
              <w:jc w:val="right"/>
              <w:rPr>
                <w:sz w:val="18"/>
                <w:szCs w:val="18"/>
                <w:lang w:eastAsia="en-GB"/>
              </w:rPr>
            </w:pPr>
            <w:r w:rsidRPr="00E55182">
              <w:rPr>
                <w:rFonts w:ascii="Calibri" w:hAnsi="Calibri" w:cs="Calibri"/>
                <w:color w:val="000000"/>
                <w:sz w:val="18"/>
                <w:szCs w:val="18"/>
              </w:rPr>
              <w:t>£5,000</w:t>
            </w:r>
          </w:p>
        </w:tc>
      </w:tr>
      <w:tr w:rsidR="00E55182" w:rsidRPr="00D71476" w14:paraId="37CEFC3E" w14:textId="77777777" w:rsidTr="001A3DE8">
        <w:tc>
          <w:tcPr>
            <w:tcW w:w="8075" w:type="dxa"/>
            <w:vAlign w:val="center"/>
          </w:tcPr>
          <w:p w14:paraId="11948BD2" w14:textId="5F720753" w:rsidR="00E55182" w:rsidRPr="00E55182" w:rsidRDefault="00E55182" w:rsidP="00E55182">
            <w:pPr>
              <w:rPr>
                <w:sz w:val="18"/>
                <w:szCs w:val="18"/>
                <w:lang w:eastAsia="en-GB"/>
              </w:rPr>
            </w:pPr>
            <w:r w:rsidRPr="00E55182">
              <w:rPr>
                <w:rFonts w:ascii="Calibri" w:hAnsi="Calibri" w:cstheme="minorHAnsi"/>
                <w:color w:val="000000"/>
                <w:sz w:val="18"/>
                <w:szCs w:val="18"/>
              </w:rPr>
              <w:t>Joint Nature Conservation Committee</w:t>
            </w:r>
          </w:p>
        </w:tc>
        <w:tc>
          <w:tcPr>
            <w:tcW w:w="2693" w:type="dxa"/>
            <w:vAlign w:val="center"/>
          </w:tcPr>
          <w:p w14:paraId="0AC4B7E1" w14:textId="348FF343" w:rsidR="00E55182" w:rsidRPr="00E55182" w:rsidRDefault="00E55182" w:rsidP="00E55182">
            <w:pPr>
              <w:jc w:val="right"/>
              <w:rPr>
                <w:sz w:val="18"/>
                <w:szCs w:val="18"/>
                <w:lang w:eastAsia="en-GB"/>
              </w:rPr>
            </w:pPr>
            <w:r w:rsidRPr="00E55182">
              <w:rPr>
                <w:rFonts w:ascii="Calibri" w:hAnsi="Calibri" w:cs="Calibri"/>
                <w:color w:val="000000"/>
                <w:sz w:val="18"/>
                <w:szCs w:val="18"/>
              </w:rPr>
              <w:t>£5,000</w:t>
            </w:r>
          </w:p>
        </w:tc>
      </w:tr>
      <w:tr w:rsidR="00E55182" w:rsidRPr="00D71476" w14:paraId="2E0BCE4A" w14:textId="77777777" w:rsidTr="001A3DE8">
        <w:tc>
          <w:tcPr>
            <w:tcW w:w="8075" w:type="dxa"/>
            <w:vAlign w:val="center"/>
          </w:tcPr>
          <w:p w14:paraId="1AAFB7A2" w14:textId="117431B3" w:rsidR="00E55182" w:rsidRPr="00E55182" w:rsidRDefault="00E55182" w:rsidP="00E55182">
            <w:pPr>
              <w:rPr>
                <w:sz w:val="18"/>
                <w:szCs w:val="18"/>
                <w:lang w:eastAsia="en-GB"/>
              </w:rPr>
            </w:pPr>
            <w:r w:rsidRPr="00E55182">
              <w:rPr>
                <w:rFonts w:ascii="Calibri" w:hAnsi="Calibri" w:cstheme="minorHAnsi"/>
                <w:color w:val="000000"/>
                <w:sz w:val="18"/>
                <w:szCs w:val="18"/>
              </w:rPr>
              <w:t xml:space="preserve">DAERA: Department of Agriculture, Environment and Rural Affairs, Northern Ireland </w:t>
            </w:r>
          </w:p>
        </w:tc>
        <w:tc>
          <w:tcPr>
            <w:tcW w:w="2693" w:type="dxa"/>
            <w:vAlign w:val="center"/>
          </w:tcPr>
          <w:p w14:paraId="622484E9" w14:textId="31A36A22" w:rsidR="00E55182" w:rsidRPr="00E55182" w:rsidRDefault="00E55182" w:rsidP="00E55182">
            <w:pPr>
              <w:jc w:val="right"/>
              <w:rPr>
                <w:sz w:val="18"/>
                <w:szCs w:val="18"/>
                <w:lang w:eastAsia="en-GB"/>
              </w:rPr>
            </w:pPr>
            <w:r w:rsidRPr="00E55182">
              <w:rPr>
                <w:rFonts w:ascii="Calibri" w:hAnsi="Calibri" w:cs="Calibri"/>
                <w:color w:val="000000"/>
                <w:sz w:val="18"/>
                <w:szCs w:val="18"/>
              </w:rPr>
              <w:t>£5,000</w:t>
            </w:r>
          </w:p>
        </w:tc>
      </w:tr>
      <w:tr w:rsidR="00E55182" w:rsidRPr="00D71476" w14:paraId="027BE108" w14:textId="77777777" w:rsidTr="001A3DE8">
        <w:tc>
          <w:tcPr>
            <w:tcW w:w="8075" w:type="dxa"/>
            <w:vAlign w:val="center"/>
          </w:tcPr>
          <w:p w14:paraId="15F5B916" w14:textId="652B667A" w:rsidR="00E55182" w:rsidRPr="00E55182" w:rsidRDefault="00E55182" w:rsidP="00E55182">
            <w:pPr>
              <w:rPr>
                <w:sz w:val="18"/>
                <w:szCs w:val="18"/>
                <w:lang w:eastAsia="en-GB"/>
              </w:rPr>
            </w:pPr>
            <w:r w:rsidRPr="00E55182">
              <w:rPr>
                <w:rFonts w:ascii="Calibri" w:hAnsi="Calibri" w:cstheme="minorHAnsi"/>
                <w:color w:val="000000"/>
                <w:sz w:val="18"/>
                <w:szCs w:val="18"/>
              </w:rPr>
              <w:t>AFBI: Agri-Food and Biosciences Institute</w:t>
            </w:r>
          </w:p>
        </w:tc>
        <w:tc>
          <w:tcPr>
            <w:tcW w:w="2693" w:type="dxa"/>
            <w:vAlign w:val="center"/>
          </w:tcPr>
          <w:p w14:paraId="0ECA506B" w14:textId="4D074524" w:rsidR="00E55182" w:rsidRPr="00E55182" w:rsidRDefault="00E55182" w:rsidP="00E55182">
            <w:pPr>
              <w:jc w:val="right"/>
              <w:rPr>
                <w:sz w:val="18"/>
                <w:szCs w:val="18"/>
                <w:lang w:eastAsia="en-GB"/>
              </w:rPr>
            </w:pPr>
            <w:r w:rsidRPr="00E55182">
              <w:rPr>
                <w:rFonts w:ascii="Calibri" w:hAnsi="Calibri" w:cs="Calibri"/>
                <w:color w:val="000000"/>
                <w:sz w:val="18"/>
                <w:szCs w:val="18"/>
              </w:rPr>
              <w:t>£5,000</w:t>
            </w:r>
          </w:p>
        </w:tc>
      </w:tr>
      <w:tr w:rsidR="00E55182" w:rsidRPr="00D71476" w14:paraId="41DF504E" w14:textId="77777777" w:rsidTr="001A3DE8">
        <w:tc>
          <w:tcPr>
            <w:tcW w:w="8075" w:type="dxa"/>
            <w:vAlign w:val="center"/>
          </w:tcPr>
          <w:p w14:paraId="6574A04F" w14:textId="2AF4425B" w:rsidR="00E55182" w:rsidRPr="00E55182" w:rsidRDefault="00E55182" w:rsidP="00E55182">
            <w:pPr>
              <w:rPr>
                <w:sz w:val="18"/>
                <w:szCs w:val="18"/>
                <w:lang w:eastAsia="en-GB"/>
              </w:rPr>
            </w:pPr>
            <w:r w:rsidRPr="00E55182">
              <w:rPr>
                <w:rFonts w:ascii="Calibri" w:hAnsi="Calibri" w:cs="Calibri"/>
                <w:color w:val="000000"/>
                <w:sz w:val="18"/>
                <w:szCs w:val="18"/>
              </w:rPr>
              <w:t>Welsh Government</w:t>
            </w:r>
          </w:p>
        </w:tc>
        <w:tc>
          <w:tcPr>
            <w:tcW w:w="2693" w:type="dxa"/>
            <w:vAlign w:val="center"/>
          </w:tcPr>
          <w:p w14:paraId="4636DD94" w14:textId="77A27373" w:rsidR="00E55182" w:rsidRPr="00E55182" w:rsidRDefault="00E55182" w:rsidP="00E55182">
            <w:pPr>
              <w:jc w:val="right"/>
              <w:rPr>
                <w:sz w:val="18"/>
                <w:szCs w:val="18"/>
                <w:lang w:eastAsia="en-GB"/>
              </w:rPr>
            </w:pPr>
            <w:r w:rsidRPr="00E55182">
              <w:rPr>
                <w:rFonts w:ascii="Calibri" w:hAnsi="Calibri" w:cs="Calibri"/>
                <w:color w:val="000000"/>
                <w:sz w:val="18"/>
                <w:szCs w:val="18"/>
              </w:rPr>
              <w:t>£5,000</w:t>
            </w:r>
          </w:p>
        </w:tc>
      </w:tr>
      <w:tr w:rsidR="005E69F2" w:rsidRPr="00D71476" w14:paraId="0453D6C5" w14:textId="77777777" w:rsidTr="005E69F2">
        <w:tc>
          <w:tcPr>
            <w:tcW w:w="8075" w:type="dxa"/>
            <w:tcBorders>
              <w:top w:val="double" w:sz="4" w:space="0" w:color="0075A2" w:themeColor="accent2" w:themeShade="BF"/>
            </w:tcBorders>
            <w:shd w:val="clear" w:color="auto" w:fill="C9F9FC" w:themeFill="accent3" w:themeFillTint="33"/>
            <w:vAlign w:val="center"/>
          </w:tcPr>
          <w:p w14:paraId="0F701CC5" w14:textId="77777777" w:rsidR="005E69F2" w:rsidRPr="005E69F2" w:rsidRDefault="005E69F2" w:rsidP="005E69F2">
            <w:pPr>
              <w:rPr>
                <w:rFonts w:cstheme="minorHAnsi"/>
                <w:sz w:val="18"/>
                <w:szCs w:val="18"/>
              </w:rPr>
            </w:pPr>
            <w:r w:rsidRPr="005E69F2">
              <w:rPr>
                <w:rFonts w:cstheme="minorHAnsi"/>
                <w:b/>
                <w:bCs/>
                <w:color w:val="000000"/>
                <w:sz w:val="18"/>
                <w:szCs w:val="18"/>
              </w:rPr>
              <w:t>TOTAL available to MEDIN from sponsorship funding</w:t>
            </w:r>
          </w:p>
        </w:tc>
        <w:tc>
          <w:tcPr>
            <w:tcW w:w="2693" w:type="dxa"/>
            <w:tcBorders>
              <w:top w:val="double" w:sz="4" w:space="0" w:color="0075A2" w:themeColor="accent2" w:themeShade="BF"/>
            </w:tcBorders>
            <w:shd w:val="clear" w:color="auto" w:fill="C9F9FC" w:themeFill="accent3" w:themeFillTint="33"/>
            <w:vAlign w:val="center"/>
          </w:tcPr>
          <w:p w14:paraId="5B0C5CE0" w14:textId="170B222E" w:rsidR="005E69F2" w:rsidRPr="00A91422" w:rsidRDefault="005E69F2" w:rsidP="005E69F2">
            <w:pPr>
              <w:jc w:val="right"/>
              <w:rPr>
                <w:rFonts w:cstheme="minorHAnsi"/>
                <w:b/>
                <w:sz w:val="18"/>
                <w:szCs w:val="18"/>
              </w:rPr>
            </w:pPr>
            <w:r w:rsidRPr="00A91422">
              <w:rPr>
                <w:rFonts w:cs="Arial"/>
                <w:b/>
                <w:sz w:val="18"/>
                <w:szCs w:val="18"/>
              </w:rPr>
              <w:t>£507,000</w:t>
            </w:r>
          </w:p>
        </w:tc>
      </w:tr>
      <w:tr w:rsidR="005E69F2" w:rsidRPr="00D71476" w14:paraId="4E7E8675" w14:textId="77777777" w:rsidTr="005E69F2">
        <w:tc>
          <w:tcPr>
            <w:tcW w:w="8075" w:type="dxa"/>
            <w:vAlign w:val="center"/>
          </w:tcPr>
          <w:p w14:paraId="1F62EB6E" w14:textId="77777777" w:rsidR="005E69F2" w:rsidRPr="005E69F2" w:rsidRDefault="005E69F2" w:rsidP="005E69F2">
            <w:pPr>
              <w:rPr>
                <w:rFonts w:cstheme="minorHAnsi"/>
                <w:b/>
                <w:bCs/>
                <w:color w:val="000000"/>
                <w:sz w:val="18"/>
                <w:szCs w:val="18"/>
              </w:rPr>
            </w:pPr>
            <w:r w:rsidRPr="005E69F2">
              <w:rPr>
                <w:rFonts w:cs="Arial"/>
                <w:sz w:val="18"/>
                <w:szCs w:val="18"/>
              </w:rPr>
              <w:t>Carry over from previous years</w:t>
            </w:r>
          </w:p>
        </w:tc>
        <w:tc>
          <w:tcPr>
            <w:tcW w:w="2693" w:type="dxa"/>
            <w:vAlign w:val="center"/>
          </w:tcPr>
          <w:p w14:paraId="30EEA6B7" w14:textId="0857A494" w:rsidR="005E69F2" w:rsidRPr="005E69F2" w:rsidRDefault="005E69F2" w:rsidP="005E69F2">
            <w:pPr>
              <w:jc w:val="right"/>
              <w:rPr>
                <w:rFonts w:cstheme="minorHAnsi"/>
                <w:b/>
                <w:bCs/>
                <w:color w:val="000000"/>
                <w:sz w:val="18"/>
                <w:szCs w:val="18"/>
              </w:rPr>
            </w:pPr>
            <w:r w:rsidRPr="005E69F2">
              <w:rPr>
                <w:rFonts w:cs="Arial"/>
                <w:sz w:val="18"/>
                <w:szCs w:val="18"/>
              </w:rPr>
              <w:t>£89,863</w:t>
            </w:r>
          </w:p>
        </w:tc>
      </w:tr>
      <w:tr w:rsidR="005E69F2" w:rsidRPr="00D71476" w14:paraId="555A3DD4" w14:textId="77777777" w:rsidTr="005E69F2">
        <w:tc>
          <w:tcPr>
            <w:tcW w:w="8075" w:type="dxa"/>
            <w:vAlign w:val="center"/>
          </w:tcPr>
          <w:p w14:paraId="506E3FDC" w14:textId="2433F53B" w:rsidR="005E69F2" w:rsidRPr="005E69F2" w:rsidRDefault="005E69F2" w:rsidP="005E69F2">
            <w:pPr>
              <w:rPr>
                <w:rFonts w:cs="Arial"/>
                <w:sz w:val="18"/>
                <w:szCs w:val="18"/>
              </w:rPr>
            </w:pPr>
            <w:r w:rsidRPr="005E69F2">
              <w:rPr>
                <w:rFonts w:cs="Arial"/>
                <w:sz w:val="18"/>
                <w:szCs w:val="18"/>
              </w:rPr>
              <w:t>Funding from Defra for special project</w:t>
            </w:r>
          </w:p>
        </w:tc>
        <w:tc>
          <w:tcPr>
            <w:tcW w:w="2693" w:type="dxa"/>
            <w:vAlign w:val="center"/>
          </w:tcPr>
          <w:p w14:paraId="3094BE6E" w14:textId="25517159" w:rsidR="005E69F2" w:rsidRPr="005E69F2" w:rsidRDefault="005E69F2" w:rsidP="005E69F2">
            <w:pPr>
              <w:jc w:val="right"/>
              <w:rPr>
                <w:rFonts w:cs="Arial"/>
                <w:sz w:val="18"/>
                <w:szCs w:val="18"/>
              </w:rPr>
            </w:pPr>
            <w:r w:rsidRPr="005E69F2">
              <w:rPr>
                <w:rFonts w:cs="Arial"/>
                <w:sz w:val="18"/>
                <w:szCs w:val="18"/>
              </w:rPr>
              <w:t>£14,600</w:t>
            </w:r>
          </w:p>
        </w:tc>
      </w:tr>
      <w:tr w:rsidR="005E69F2" w:rsidRPr="00D71476" w14:paraId="77F63BB0" w14:textId="77777777" w:rsidTr="005E69F2">
        <w:tc>
          <w:tcPr>
            <w:tcW w:w="8075" w:type="dxa"/>
            <w:tcBorders>
              <w:bottom w:val="double" w:sz="4" w:space="0" w:color="089BA2" w:themeColor="accent3" w:themeShade="BF"/>
            </w:tcBorders>
            <w:shd w:val="clear" w:color="auto" w:fill="C9F9FC" w:themeFill="accent3" w:themeFillTint="33"/>
            <w:vAlign w:val="center"/>
          </w:tcPr>
          <w:p w14:paraId="66F91762" w14:textId="77777777" w:rsidR="005E69F2" w:rsidRPr="005E69F2" w:rsidRDefault="005E69F2" w:rsidP="005E69F2">
            <w:pPr>
              <w:rPr>
                <w:rFonts w:cstheme="minorHAnsi"/>
                <w:b/>
                <w:bCs/>
                <w:color w:val="000000"/>
                <w:sz w:val="18"/>
                <w:szCs w:val="18"/>
              </w:rPr>
            </w:pPr>
            <w:r w:rsidRPr="005E69F2">
              <w:rPr>
                <w:rFonts w:cs="Arial"/>
                <w:b/>
                <w:sz w:val="18"/>
                <w:szCs w:val="18"/>
              </w:rPr>
              <w:t>Final Total available for 2020-21</w:t>
            </w:r>
          </w:p>
        </w:tc>
        <w:tc>
          <w:tcPr>
            <w:tcW w:w="2693" w:type="dxa"/>
            <w:tcBorders>
              <w:bottom w:val="double" w:sz="4" w:space="0" w:color="089BA2" w:themeColor="accent3" w:themeShade="BF"/>
            </w:tcBorders>
            <w:shd w:val="clear" w:color="auto" w:fill="C9F9FC" w:themeFill="accent3" w:themeFillTint="33"/>
            <w:vAlign w:val="center"/>
          </w:tcPr>
          <w:p w14:paraId="7D03057B" w14:textId="0F4CDE3E" w:rsidR="005E69F2" w:rsidRPr="005E69F2" w:rsidRDefault="005E69F2" w:rsidP="005E69F2">
            <w:pPr>
              <w:jc w:val="right"/>
              <w:rPr>
                <w:rFonts w:cstheme="minorHAnsi"/>
                <w:b/>
                <w:bCs/>
                <w:color w:val="000000"/>
                <w:sz w:val="18"/>
                <w:szCs w:val="18"/>
              </w:rPr>
            </w:pPr>
            <w:r w:rsidRPr="005E69F2">
              <w:rPr>
                <w:rFonts w:ascii="Calibri" w:hAnsi="Calibri" w:cs="Calibri"/>
                <w:b/>
                <w:color w:val="000000"/>
                <w:sz w:val="18"/>
                <w:szCs w:val="18"/>
              </w:rPr>
              <w:t>£611,463</w:t>
            </w:r>
          </w:p>
        </w:tc>
      </w:tr>
    </w:tbl>
    <w:p w14:paraId="4D50032C" w14:textId="097035C2" w:rsidR="00342AB6" w:rsidRDefault="00342AB6" w:rsidP="00342AB6">
      <w:pPr>
        <w:pStyle w:val="Heading2"/>
        <w:rPr>
          <w:rFonts w:eastAsia="Times New Roman"/>
          <w:lang w:eastAsia="en-GB"/>
        </w:rPr>
      </w:pPr>
      <w:r>
        <w:rPr>
          <w:rFonts w:eastAsia="Times New Roman"/>
          <w:lang w:eastAsia="en-GB"/>
        </w:rPr>
        <w:t>Expenditure</w:t>
      </w:r>
    </w:p>
    <w:p w14:paraId="58566973" w14:textId="3E706204" w:rsidR="00DB607F" w:rsidRDefault="00FB2B5A" w:rsidP="00575D34">
      <w:pPr>
        <w:shd w:val="clear" w:color="auto" w:fill="FFFFFF"/>
        <w:spacing w:after="0" w:line="240" w:lineRule="auto"/>
        <w:rPr>
          <w:rFonts w:eastAsia="Times New Roman" w:cstheme="minorHAnsi"/>
          <w:color w:val="000000" w:themeColor="text1"/>
          <w:lang w:eastAsia="en-GB"/>
        </w:rPr>
      </w:pPr>
      <w:r w:rsidRPr="000F2793">
        <w:rPr>
          <w:rFonts w:eastAsia="Times New Roman" w:cstheme="minorHAnsi"/>
          <w:color w:val="000000" w:themeColor="text1"/>
          <w:lang w:eastAsia="en-GB"/>
        </w:rPr>
        <w:t xml:space="preserve">MEDIN is split into seven </w:t>
      </w:r>
      <w:r w:rsidR="00D436F2" w:rsidRPr="000F2793">
        <w:rPr>
          <w:rFonts w:eastAsia="Times New Roman" w:cstheme="minorHAnsi"/>
          <w:color w:val="000000" w:themeColor="text1"/>
          <w:lang w:eastAsia="en-GB"/>
        </w:rPr>
        <w:t>W</w:t>
      </w:r>
      <w:r w:rsidRPr="000F2793">
        <w:rPr>
          <w:rFonts w:eastAsia="Times New Roman" w:cstheme="minorHAnsi"/>
          <w:color w:val="000000" w:themeColor="text1"/>
          <w:lang w:eastAsia="en-GB"/>
        </w:rPr>
        <w:t xml:space="preserve">ork </w:t>
      </w:r>
      <w:r w:rsidR="00D436F2" w:rsidRPr="000F2793">
        <w:rPr>
          <w:rFonts w:eastAsia="Times New Roman" w:cstheme="minorHAnsi"/>
          <w:color w:val="000000" w:themeColor="text1"/>
          <w:lang w:eastAsia="en-GB"/>
        </w:rPr>
        <w:t>S</w:t>
      </w:r>
      <w:r w:rsidRPr="000F2793">
        <w:rPr>
          <w:rFonts w:eastAsia="Times New Roman" w:cstheme="minorHAnsi"/>
          <w:color w:val="000000" w:themeColor="text1"/>
          <w:lang w:eastAsia="en-GB"/>
        </w:rPr>
        <w:t>treams</w:t>
      </w:r>
      <w:r w:rsidR="00D436F2" w:rsidRPr="000F2793">
        <w:rPr>
          <w:rFonts w:eastAsia="Times New Roman" w:cstheme="minorHAnsi"/>
          <w:color w:val="000000" w:themeColor="text1"/>
          <w:lang w:eastAsia="en-GB"/>
        </w:rPr>
        <w:t xml:space="preserve"> (WS)</w:t>
      </w:r>
      <w:r w:rsidRPr="000F2793">
        <w:rPr>
          <w:rFonts w:eastAsia="Times New Roman" w:cstheme="minorHAnsi"/>
          <w:color w:val="000000" w:themeColor="text1"/>
          <w:lang w:eastAsia="en-GB"/>
        </w:rPr>
        <w:t xml:space="preserve">, each with its own budget and project manager, to allow efficient delivery and management of MEDIN’s </w:t>
      </w:r>
      <w:r w:rsidR="00166B00" w:rsidRPr="000F2793">
        <w:rPr>
          <w:rFonts w:eastAsia="Times New Roman" w:cstheme="minorHAnsi"/>
          <w:color w:val="000000" w:themeColor="text1"/>
          <w:lang w:eastAsia="en-GB"/>
        </w:rPr>
        <w:t>programme of</w:t>
      </w:r>
      <w:r w:rsidRPr="000F2793">
        <w:rPr>
          <w:rFonts w:eastAsia="Times New Roman" w:cstheme="minorHAnsi"/>
          <w:color w:val="000000" w:themeColor="text1"/>
          <w:lang w:eastAsia="en-GB"/>
        </w:rPr>
        <w:t xml:space="preserve"> work. </w:t>
      </w:r>
      <w:r w:rsidR="00166B00" w:rsidRPr="000F2793">
        <w:rPr>
          <w:rFonts w:eastAsia="Times New Roman" w:cstheme="minorHAnsi"/>
          <w:color w:val="000000" w:themeColor="text1"/>
          <w:lang w:eastAsia="en-GB"/>
        </w:rPr>
        <w:t>We</w:t>
      </w:r>
      <w:r w:rsidR="00342AB6" w:rsidRPr="000F2793">
        <w:rPr>
          <w:rFonts w:eastAsia="Times New Roman" w:cstheme="minorHAnsi"/>
          <w:color w:val="000000" w:themeColor="text1"/>
          <w:lang w:eastAsia="en-GB"/>
        </w:rPr>
        <w:t xml:space="preserve"> spent </w:t>
      </w:r>
      <w:r w:rsidR="005D7F51" w:rsidRPr="000F2793">
        <w:rPr>
          <w:rFonts w:cstheme="minorHAnsi"/>
          <w:b/>
          <w:bCs/>
          <w:color w:val="000000" w:themeColor="text1"/>
        </w:rPr>
        <w:t xml:space="preserve">£509,899 </w:t>
      </w:r>
      <w:r w:rsidR="00630D15" w:rsidRPr="000F2793">
        <w:rPr>
          <w:rFonts w:eastAsia="Times New Roman" w:cstheme="minorHAnsi"/>
          <w:color w:val="000000" w:themeColor="text1"/>
          <w:lang w:eastAsia="en-GB"/>
        </w:rPr>
        <w:t xml:space="preserve">during </w:t>
      </w:r>
      <w:r w:rsidR="00EB4903" w:rsidRPr="000F2793">
        <w:rPr>
          <w:rFonts w:eastAsia="Times New Roman" w:cstheme="minorHAnsi"/>
          <w:color w:val="000000" w:themeColor="text1"/>
          <w:lang w:eastAsia="en-GB"/>
        </w:rPr>
        <w:t>2020-21</w:t>
      </w:r>
      <w:r w:rsidR="00630D15" w:rsidRPr="000F2793">
        <w:rPr>
          <w:rFonts w:eastAsia="Times New Roman" w:cstheme="minorHAnsi"/>
          <w:color w:val="000000" w:themeColor="text1"/>
          <w:lang w:eastAsia="en-GB"/>
        </w:rPr>
        <w:t xml:space="preserve">: </w:t>
      </w:r>
      <w:r w:rsidR="005D7F51" w:rsidRPr="000F2793">
        <w:rPr>
          <w:rFonts w:cstheme="minorHAnsi"/>
          <w:color w:val="000000" w:themeColor="text1"/>
        </w:rPr>
        <w:t xml:space="preserve">£321,946 </w:t>
      </w:r>
      <w:r w:rsidR="00630D15" w:rsidRPr="000F2793">
        <w:rPr>
          <w:rFonts w:eastAsia="Times New Roman" w:cstheme="minorHAnsi"/>
          <w:color w:val="000000" w:themeColor="text1"/>
          <w:lang w:eastAsia="en-GB"/>
        </w:rPr>
        <w:t xml:space="preserve">on </w:t>
      </w:r>
      <w:r w:rsidR="00166B00" w:rsidRPr="000F2793">
        <w:rPr>
          <w:rFonts w:eastAsia="Times New Roman" w:cstheme="minorHAnsi"/>
          <w:color w:val="000000" w:themeColor="text1"/>
          <w:lang w:eastAsia="en-GB"/>
        </w:rPr>
        <w:t xml:space="preserve">the employment costs of the MEDIN project managers (the MEDIN Core Team) </w:t>
      </w:r>
      <w:r w:rsidR="00630D15" w:rsidRPr="000F2793">
        <w:rPr>
          <w:rFonts w:eastAsia="Times New Roman" w:cstheme="minorHAnsi"/>
          <w:color w:val="000000" w:themeColor="text1"/>
          <w:lang w:eastAsia="en-GB"/>
        </w:rPr>
        <w:t>including all individual and organisational overheads</w:t>
      </w:r>
      <w:r w:rsidR="001C5F5E" w:rsidRPr="000F2793">
        <w:rPr>
          <w:rFonts w:eastAsia="Times New Roman" w:cstheme="minorHAnsi"/>
          <w:color w:val="000000" w:themeColor="text1"/>
          <w:lang w:eastAsia="en-GB"/>
        </w:rPr>
        <w:t xml:space="preserve">, </w:t>
      </w:r>
      <w:r w:rsidR="005D7F51" w:rsidRPr="000F2793">
        <w:rPr>
          <w:rFonts w:cstheme="minorHAnsi"/>
          <w:color w:val="000000" w:themeColor="text1"/>
        </w:rPr>
        <w:t xml:space="preserve">£155 </w:t>
      </w:r>
      <w:r w:rsidR="00630D15" w:rsidRPr="000F2793">
        <w:rPr>
          <w:rFonts w:eastAsia="Times New Roman" w:cstheme="minorHAnsi"/>
          <w:color w:val="000000" w:themeColor="text1"/>
          <w:lang w:eastAsia="en-GB"/>
        </w:rPr>
        <w:t xml:space="preserve">on travel </w:t>
      </w:r>
      <w:r w:rsidR="00166B00" w:rsidRPr="000F2793">
        <w:rPr>
          <w:rFonts w:eastAsia="Times New Roman" w:cstheme="minorHAnsi"/>
          <w:color w:val="000000" w:themeColor="text1"/>
          <w:lang w:eastAsia="en-GB"/>
        </w:rPr>
        <w:t xml:space="preserve">and subsistence </w:t>
      </w:r>
      <w:r w:rsidR="00630D15" w:rsidRPr="000F2793">
        <w:rPr>
          <w:rFonts w:eastAsia="Times New Roman" w:cstheme="minorHAnsi"/>
          <w:color w:val="000000" w:themeColor="text1"/>
          <w:lang w:eastAsia="en-GB"/>
        </w:rPr>
        <w:t xml:space="preserve">costs and </w:t>
      </w:r>
      <w:r w:rsidR="005D7F51" w:rsidRPr="000F2793">
        <w:rPr>
          <w:rFonts w:cstheme="minorHAnsi"/>
          <w:color w:val="000000" w:themeColor="text1"/>
        </w:rPr>
        <w:t xml:space="preserve">£175,038 </w:t>
      </w:r>
      <w:r w:rsidR="00630D15" w:rsidRPr="000F2793">
        <w:rPr>
          <w:rFonts w:eastAsia="Times New Roman" w:cstheme="minorHAnsi"/>
          <w:color w:val="000000" w:themeColor="text1"/>
          <w:lang w:eastAsia="en-GB"/>
        </w:rPr>
        <w:t>on external contract costs</w:t>
      </w:r>
      <w:r w:rsidR="00166B00" w:rsidRPr="000F2793">
        <w:rPr>
          <w:rFonts w:eastAsia="Times New Roman" w:cstheme="minorHAnsi"/>
          <w:color w:val="000000" w:themeColor="text1"/>
          <w:lang w:eastAsia="en-GB"/>
        </w:rPr>
        <w:t xml:space="preserve"> required for the operation, maintenance and development of the MEDIN framework</w:t>
      </w:r>
      <w:r w:rsidR="00630D15" w:rsidRPr="000F2793">
        <w:rPr>
          <w:rFonts w:eastAsia="Times New Roman" w:cstheme="minorHAnsi"/>
          <w:color w:val="000000" w:themeColor="text1"/>
          <w:lang w:eastAsia="en-GB"/>
        </w:rPr>
        <w:t xml:space="preserve">. </w:t>
      </w:r>
    </w:p>
    <w:p w14:paraId="786D0546" w14:textId="77777777" w:rsidR="00F1104B" w:rsidRDefault="00F1104B" w:rsidP="00575D34">
      <w:pPr>
        <w:shd w:val="clear" w:color="auto" w:fill="FFFFFF"/>
        <w:spacing w:after="0" w:line="240" w:lineRule="auto"/>
        <w:rPr>
          <w:rFonts w:eastAsia="Times New Roman" w:cstheme="minorHAnsi"/>
          <w:color w:val="000000" w:themeColor="text1"/>
          <w:lang w:eastAsia="en-GB"/>
        </w:rPr>
      </w:pP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1753"/>
        <w:gridCol w:w="4058"/>
        <w:gridCol w:w="1701"/>
      </w:tblGrid>
      <w:tr w:rsidR="00DB607F" w14:paraId="36A8E65B" w14:textId="77777777" w:rsidTr="009E7049">
        <w:tc>
          <w:tcPr>
            <w:tcW w:w="3261" w:type="dxa"/>
            <w:tcBorders>
              <w:bottom w:val="double" w:sz="4" w:space="0" w:color="0075A2" w:themeColor="accent2" w:themeShade="BF"/>
            </w:tcBorders>
            <w:vAlign w:val="center"/>
          </w:tcPr>
          <w:p w14:paraId="061852F9" w14:textId="77777777" w:rsidR="00DB607F" w:rsidRPr="00D71476" w:rsidRDefault="00DB607F" w:rsidP="00633802">
            <w:pPr>
              <w:rPr>
                <w:sz w:val="18"/>
                <w:szCs w:val="18"/>
                <w:lang w:eastAsia="en-GB"/>
              </w:rPr>
            </w:pPr>
            <w:r w:rsidRPr="00D71476">
              <w:rPr>
                <w:rFonts w:cstheme="minorHAnsi"/>
                <w:b/>
                <w:bCs/>
                <w:sz w:val="18"/>
                <w:szCs w:val="18"/>
              </w:rPr>
              <w:t>Expenditure category</w:t>
            </w:r>
          </w:p>
        </w:tc>
        <w:tc>
          <w:tcPr>
            <w:tcW w:w="1753" w:type="dxa"/>
            <w:tcBorders>
              <w:bottom w:val="double" w:sz="4" w:space="0" w:color="0075A2" w:themeColor="accent2" w:themeShade="BF"/>
              <w:right w:val="double" w:sz="4" w:space="0" w:color="0075A2" w:themeColor="accent2" w:themeShade="BF"/>
            </w:tcBorders>
          </w:tcPr>
          <w:p w14:paraId="6E33C709" w14:textId="77777777" w:rsidR="00DB607F" w:rsidRPr="00D71476" w:rsidRDefault="00DB607F" w:rsidP="00633802">
            <w:pPr>
              <w:jc w:val="right"/>
              <w:rPr>
                <w:rFonts w:cstheme="minorHAnsi"/>
                <w:b/>
                <w:bCs/>
                <w:sz w:val="18"/>
                <w:szCs w:val="18"/>
              </w:rPr>
            </w:pPr>
            <w:r w:rsidRPr="00D71476">
              <w:rPr>
                <w:rFonts w:cstheme="minorHAnsi"/>
                <w:b/>
                <w:bCs/>
                <w:sz w:val="18"/>
                <w:szCs w:val="18"/>
              </w:rPr>
              <w:t xml:space="preserve">Expenditure in </w:t>
            </w:r>
            <w:r w:rsidR="00EB4903">
              <w:rPr>
                <w:rFonts w:cstheme="minorHAnsi"/>
                <w:b/>
                <w:bCs/>
                <w:sz w:val="18"/>
                <w:szCs w:val="18"/>
              </w:rPr>
              <w:t>2020-21</w:t>
            </w:r>
          </w:p>
        </w:tc>
        <w:tc>
          <w:tcPr>
            <w:tcW w:w="4058" w:type="dxa"/>
            <w:tcBorders>
              <w:left w:val="double" w:sz="4" w:space="0" w:color="0075A2" w:themeColor="accent2" w:themeShade="BF"/>
              <w:bottom w:val="double" w:sz="4" w:space="0" w:color="0075A2" w:themeColor="accent2" w:themeShade="BF"/>
            </w:tcBorders>
          </w:tcPr>
          <w:p w14:paraId="5367A765" w14:textId="77777777" w:rsidR="00DB607F" w:rsidRPr="00D71476" w:rsidRDefault="00DB607F" w:rsidP="00633802">
            <w:pPr>
              <w:jc w:val="right"/>
              <w:rPr>
                <w:rFonts w:cstheme="minorHAnsi"/>
                <w:b/>
                <w:bCs/>
                <w:sz w:val="18"/>
                <w:szCs w:val="18"/>
              </w:rPr>
            </w:pPr>
            <w:r w:rsidRPr="00D71476">
              <w:rPr>
                <w:rFonts w:cstheme="minorHAnsi"/>
                <w:b/>
                <w:bCs/>
                <w:sz w:val="18"/>
                <w:szCs w:val="18"/>
              </w:rPr>
              <w:t>Work Stream</w:t>
            </w:r>
          </w:p>
        </w:tc>
        <w:tc>
          <w:tcPr>
            <w:tcW w:w="1701" w:type="dxa"/>
            <w:tcBorders>
              <w:bottom w:val="double" w:sz="4" w:space="0" w:color="0075A2" w:themeColor="accent2" w:themeShade="BF"/>
            </w:tcBorders>
            <w:vAlign w:val="center"/>
          </w:tcPr>
          <w:p w14:paraId="4A8DA2BC" w14:textId="77777777" w:rsidR="00DB607F" w:rsidRPr="00D71476" w:rsidRDefault="000F7243" w:rsidP="00633802">
            <w:pPr>
              <w:jc w:val="right"/>
              <w:rPr>
                <w:sz w:val="18"/>
                <w:szCs w:val="18"/>
                <w:lang w:eastAsia="en-GB"/>
              </w:rPr>
            </w:pPr>
            <w:r w:rsidRPr="00D71476">
              <w:rPr>
                <w:rFonts w:cstheme="minorHAnsi"/>
                <w:b/>
                <w:bCs/>
                <w:sz w:val="18"/>
                <w:szCs w:val="18"/>
              </w:rPr>
              <w:t xml:space="preserve">Expenditure in </w:t>
            </w:r>
            <w:r w:rsidR="00EB4903">
              <w:rPr>
                <w:rFonts w:cstheme="minorHAnsi"/>
                <w:b/>
                <w:bCs/>
                <w:sz w:val="18"/>
                <w:szCs w:val="18"/>
              </w:rPr>
              <w:t>2020-21</w:t>
            </w:r>
          </w:p>
        </w:tc>
      </w:tr>
      <w:tr w:rsidR="005D7F51" w14:paraId="303EDAA5" w14:textId="77777777" w:rsidTr="00633802">
        <w:tc>
          <w:tcPr>
            <w:tcW w:w="3261" w:type="dxa"/>
            <w:tcBorders>
              <w:top w:val="double" w:sz="4" w:space="0" w:color="0075A2" w:themeColor="accent2" w:themeShade="BF"/>
            </w:tcBorders>
            <w:vAlign w:val="center"/>
          </w:tcPr>
          <w:p w14:paraId="089A05A8" w14:textId="77777777" w:rsidR="005D7F51" w:rsidRPr="00D71476" w:rsidRDefault="005D7F51" w:rsidP="005D7F51">
            <w:pPr>
              <w:rPr>
                <w:rFonts w:cstheme="minorHAnsi"/>
                <w:sz w:val="18"/>
                <w:szCs w:val="18"/>
                <w:lang w:eastAsia="en-GB"/>
              </w:rPr>
            </w:pPr>
            <w:r w:rsidRPr="00D71476">
              <w:rPr>
                <w:rFonts w:cstheme="minorHAnsi"/>
                <w:sz w:val="18"/>
                <w:szCs w:val="18"/>
              </w:rPr>
              <w:t>Employment Costs of Core Team</w:t>
            </w:r>
          </w:p>
        </w:tc>
        <w:tc>
          <w:tcPr>
            <w:tcW w:w="1753" w:type="dxa"/>
            <w:tcBorders>
              <w:top w:val="double" w:sz="4" w:space="0" w:color="0075A2" w:themeColor="accent2" w:themeShade="BF"/>
              <w:right w:val="double" w:sz="4" w:space="0" w:color="0075A2" w:themeColor="accent2" w:themeShade="BF"/>
            </w:tcBorders>
            <w:vAlign w:val="bottom"/>
          </w:tcPr>
          <w:p w14:paraId="17D7B448" w14:textId="3DDE9B5F" w:rsidR="005D7F51" w:rsidRPr="00D71476" w:rsidRDefault="005D7F51" w:rsidP="005D7F51">
            <w:pPr>
              <w:jc w:val="right"/>
              <w:rPr>
                <w:rFonts w:cstheme="minorHAnsi"/>
                <w:sz w:val="18"/>
                <w:szCs w:val="18"/>
              </w:rPr>
            </w:pPr>
            <w:r>
              <w:rPr>
                <w:rFonts w:ascii="Calibri" w:hAnsi="Calibri" w:cs="Calibri"/>
                <w:sz w:val="20"/>
                <w:szCs w:val="20"/>
              </w:rPr>
              <w:t>£321,946</w:t>
            </w:r>
          </w:p>
        </w:tc>
        <w:tc>
          <w:tcPr>
            <w:tcW w:w="4058" w:type="dxa"/>
            <w:tcBorders>
              <w:top w:val="double" w:sz="4" w:space="0" w:color="0075A2" w:themeColor="accent2" w:themeShade="BF"/>
              <w:left w:val="double" w:sz="4" w:space="0" w:color="0075A2" w:themeColor="accent2" w:themeShade="BF"/>
            </w:tcBorders>
            <w:vAlign w:val="center"/>
          </w:tcPr>
          <w:p w14:paraId="492BF51D" w14:textId="77777777" w:rsidR="005D7F51" w:rsidRPr="00D71476" w:rsidRDefault="005D7F51" w:rsidP="005D7F51">
            <w:pPr>
              <w:jc w:val="right"/>
              <w:rPr>
                <w:rFonts w:cstheme="minorHAnsi"/>
                <w:sz w:val="18"/>
                <w:szCs w:val="18"/>
              </w:rPr>
            </w:pPr>
            <w:r w:rsidRPr="00D71476">
              <w:rPr>
                <w:rFonts w:cstheme="minorHAnsi"/>
                <w:sz w:val="18"/>
                <w:szCs w:val="18"/>
              </w:rPr>
              <w:t>WS1: Data Archive Centres</w:t>
            </w:r>
          </w:p>
        </w:tc>
        <w:tc>
          <w:tcPr>
            <w:tcW w:w="1701" w:type="dxa"/>
            <w:tcBorders>
              <w:top w:val="double" w:sz="4" w:space="0" w:color="0075A2" w:themeColor="accent2" w:themeShade="BF"/>
            </w:tcBorders>
            <w:vAlign w:val="bottom"/>
          </w:tcPr>
          <w:p w14:paraId="366733E6" w14:textId="5CBB6D85" w:rsidR="005D7F51" w:rsidRPr="005D7F51" w:rsidRDefault="005D7F51" w:rsidP="005D7F51">
            <w:pPr>
              <w:jc w:val="right"/>
              <w:rPr>
                <w:rFonts w:cstheme="minorHAnsi"/>
                <w:sz w:val="18"/>
                <w:szCs w:val="18"/>
                <w:lang w:eastAsia="en-GB"/>
              </w:rPr>
            </w:pPr>
            <w:r w:rsidRPr="005D7F51">
              <w:rPr>
                <w:rFonts w:ascii="Calibri" w:hAnsi="Calibri" w:cs="Calibri"/>
                <w:color w:val="000000"/>
                <w:sz w:val="18"/>
                <w:szCs w:val="18"/>
              </w:rPr>
              <w:t>£113,701</w:t>
            </w:r>
          </w:p>
        </w:tc>
      </w:tr>
      <w:tr w:rsidR="005D7F51" w14:paraId="525F9776" w14:textId="77777777" w:rsidTr="00633802">
        <w:tc>
          <w:tcPr>
            <w:tcW w:w="3261" w:type="dxa"/>
            <w:vAlign w:val="center"/>
          </w:tcPr>
          <w:p w14:paraId="7656A87B" w14:textId="77777777" w:rsidR="005D7F51" w:rsidRPr="00D71476" w:rsidRDefault="005D7F51" w:rsidP="005D7F51">
            <w:pPr>
              <w:rPr>
                <w:rFonts w:cstheme="minorHAnsi"/>
                <w:sz w:val="18"/>
                <w:szCs w:val="18"/>
                <w:lang w:eastAsia="en-GB"/>
              </w:rPr>
            </w:pPr>
            <w:r w:rsidRPr="00D71476">
              <w:rPr>
                <w:rFonts w:cstheme="minorHAnsi"/>
                <w:sz w:val="18"/>
                <w:szCs w:val="18"/>
              </w:rPr>
              <w:t xml:space="preserve">Travel and Subsistence </w:t>
            </w:r>
          </w:p>
        </w:tc>
        <w:tc>
          <w:tcPr>
            <w:tcW w:w="1753" w:type="dxa"/>
            <w:tcBorders>
              <w:right w:val="double" w:sz="4" w:space="0" w:color="0075A2" w:themeColor="accent2" w:themeShade="BF"/>
            </w:tcBorders>
            <w:vAlign w:val="bottom"/>
          </w:tcPr>
          <w:p w14:paraId="758A6DE4" w14:textId="083898B8" w:rsidR="005D7F51" w:rsidRPr="00D71476" w:rsidRDefault="005D7F51" w:rsidP="005D7F51">
            <w:pPr>
              <w:jc w:val="right"/>
              <w:rPr>
                <w:rFonts w:cstheme="minorHAnsi"/>
                <w:sz w:val="18"/>
                <w:szCs w:val="18"/>
              </w:rPr>
            </w:pPr>
            <w:r>
              <w:rPr>
                <w:rFonts w:ascii="Calibri" w:hAnsi="Calibri" w:cs="Calibri"/>
                <w:sz w:val="20"/>
                <w:szCs w:val="20"/>
              </w:rPr>
              <w:t>£155</w:t>
            </w:r>
          </w:p>
        </w:tc>
        <w:tc>
          <w:tcPr>
            <w:tcW w:w="4058" w:type="dxa"/>
            <w:tcBorders>
              <w:left w:val="double" w:sz="4" w:space="0" w:color="0075A2" w:themeColor="accent2" w:themeShade="BF"/>
            </w:tcBorders>
            <w:vAlign w:val="center"/>
          </w:tcPr>
          <w:p w14:paraId="5AA6C3BB" w14:textId="77777777" w:rsidR="005D7F51" w:rsidRPr="00D71476" w:rsidRDefault="005D7F51" w:rsidP="005D7F51">
            <w:pPr>
              <w:jc w:val="right"/>
              <w:rPr>
                <w:rFonts w:cstheme="minorHAnsi"/>
                <w:sz w:val="18"/>
                <w:szCs w:val="18"/>
              </w:rPr>
            </w:pPr>
            <w:r w:rsidRPr="00D71476">
              <w:rPr>
                <w:rFonts w:cstheme="minorHAnsi"/>
                <w:sz w:val="18"/>
                <w:szCs w:val="18"/>
              </w:rPr>
              <w:t>WS2: Standards</w:t>
            </w:r>
          </w:p>
        </w:tc>
        <w:tc>
          <w:tcPr>
            <w:tcW w:w="1701" w:type="dxa"/>
            <w:vAlign w:val="bottom"/>
          </w:tcPr>
          <w:p w14:paraId="4AAFB92C" w14:textId="562A633E" w:rsidR="005D7F51" w:rsidRPr="005D7F51" w:rsidRDefault="005D7F51" w:rsidP="005D7F51">
            <w:pPr>
              <w:jc w:val="right"/>
              <w:rPr>
                <w:rFonts w:cstheme="minorHAnsi"/>
                <w:sz w:val="18"/>
                <w:szCs w:val="18"/>
                <w:lang w:eastAsia="en-GB"/>
              </w:rPr>
            </w:pPr>
            <w:r w:rsidRPr="005D7F51">
              <w:rPr>
                <w:rFonts w:ascii="Calibri" w:hAnsi="Calibri" w:cs="Calibri"/>
                <w:color w:val="000000"/>
                <w:sz w:val="18"/>
                <w:szCs w:val="18"/>
              </w:rPr>
              <w:t>£95,998</w:t>
            </w:r>
          </w:p>
        </w:tc>
      </w:tr>
      <w:tr w:rsidR="005D7F51" w14:paraId="5AF2C6AC" w14:textId="77777777" w:rsidTr="00633802">
        <w:tc>
          <w:tcPr>
            <w:tcW w:w="3261" w:type="dxa"/>
            <w:vAlign w:val="center"/>
          </w:tcPr>
          <w:p w14:paraId="384278D6" w14:textId="77777777" w:rsidR="005D7F51" w:rsidRPr="00D71476" w:rsidRDefault="005D7F51" w:rsidP="005D7F51">
            <w:pPr>
              <w:rPr>
                <w:rFonts w:cstheme="minorHAnsi"/>
                <w:sz w:val="18"/>
                <w:szCs w:val="18"/>
                <w:lang w:eastAsia="en-GB"/>
              </w:rPr>
            </w:pPr>
            <w:r w:rsidRPr="00D71476">
              <w:rPr>
                <w:rFonts w:cstheme="minorHAnsi"/>
                <w:sz w:val="18"/>
                <w:szCs w:val="18"/>
              </w:rPr>
              <w:t>External Contracts</w:t>
            </w:r>
          </w:p>
        </w:tc>
        <w:tc>
          <w:tcPr>
            <w:tcW w:w="1753" w:type="dxa"/>
            <w:tcBorders>
              <w:right w:val="double" w:sz="4" w:space="0" w:color="0075A2" w:themeColor="accent2" w:themeShade="BF"/>
            </w:tcBorders>
            <w:vAlign w:val="bottom"/>
          </w:tcPr>
          <w:p w14:paraId="692283F4" w14:textId="18051E9E" w:rsidR="005D7F51" w:rsidRPr="00D71476" w:rsidRDefault="005D7F51" w:rsidP="005D7F51">
            <w:pPr>
              <w:jc w:val="right"/>
              <w:rPr>
                <w:rFonts w:cstheme="minorHAnsi"/>
                <w:sz w:val="18"/>
                <w:szCs w:val="18"/>
              </w:rPr>
            </w:pPr>
            <w:r>
              <w:rPr>
                <w:rFonts w:ascii="Calibri" w:hAnsi="Calibri" w:cs="Calibri"/>
                <w:sz w:val="20"/>
                <w:szCs w:val="20"/>
              </w:rPr>
              <w:t>£175,038</w:t>
            </w:r>
          </w:p>
        </w:tc>
        <w:tc>
          <w:tcPr>
            <w:tcW w:w="4058" w:type="dxa"/>
            <w:tcBorders>
              <w:left w:val="double" w:sz="4" w:space="0" w:color="0075A2" w:themeColor="accent2" w:themeShade="BF"/>
            </w:tcBorders>
            <w:vAlign w:val="center"/>
          </w:tcPr>
          <w:p w14:paraId="6C2D1C27" w14:textId="77777777" w:rsidR="005D7F51" w:rsidRPr="00D71476" w:rsidRDefault="005D7F51" w:rsidP="005D7F51">
            <w:pPr>
              <w:jc w:val="right"/>
              <w:rPr>
                <w:rFonts w:cstheme="minorHAnsi"/>
                <w:sz w:val="18"/>
                <w:szCs w:val="18"/>
              </w:rPr>
            </w:pPr>
            <w:r w:rsidRPr="00D71476">
              <w:rPr>
                <w:rFonts w:cstheme="minorHAnsi"/>
                <w:sz w:val="18"/>
                <w:szCs w:val="18"/>
              </w:rPr>
              <w:t>WS3: Portal</w:t>
            </w:r>
          </w:p>
        </w:tc>
        <w:tc>
          <w:tcPr>
            <w:tcW w:w="1701" w:type="dxa"/>
            <w:vAlign w:val="bottom"/>
          </w:tcPr>
          <w:p w14:paraId="199DEF51" w14:textId="0EFB80FF" w:rsidR="005D7F51" w:rsidRPr="005D7F51" w:rsidRDefault="005D7F51" w:rsidP="005D7F51">
            <w:pPr>
              <w:jc w:val="right"/>
              <w:rPr>
                <w:rFonts w:cstheme="minorHAnsi"/>
                <w:sz w:val="18"/>
                <w:szCs w:val="18"/>
                <w:lang w:eastAsia="en-GB"/>
              </w:rPr>
            </w:pPr>
            <w:r w:rsidRPr="005D7F51">
              <w:rPr>
                <w:rFonts w:ascii="Calibri" w:hAnsi="Calibri" w:cs="Calibri"/>
                <w:color w:val="000000"/>
                <w:sz w:val="18"/>
                <w:szCs w:val="18"/>
              </w:rPr>
              <w:t>£103,976</w:t>
            </w:r>
          </w:p>
        </w:tc>
      </w:tr>
      <w:tr w:rsidR="005D7F51" w14:paraId="002F3FF0" w14:textId="77777777" w:rsidTr="00633802">
        <w:tc>
          <w:tcPr>
            <w:tcW w:w="3261" w:type="dxa"/>
            <w:vAlign w:val="center"/>
          </w:tcPr>
          <w:p w14:paraId="2EBCA2EE" w14:textId="356B08AE" w:rsidR="005D7F51" w:rsidRPr="005D7F51" w:rsidRDefault="005D7F51" w:rsidP="005D7F51">
            <w:pPr>
              <w:rPr>
                <w:rFonts w:cstheme="minorHAnsi"/>
                <w:sz w:val="18"/>
                <w:szCs w:val="18"/>
                <w:lang w:eastAsia="en-GB"/>
              </w:rPr>
            </w:pPr>
            <w:r w:rsidRPr="005D7F51">
              <w:rPr>
                <w:rFonts w:ascii="Calibri" w:hAnsi="Calibri" w:cs="Calibri"/>
                <w:b/>
                <w:bCs/>
                <w:sz w:val="18"/>
                <w:szCs w:val="18"/>
              </w:rPr>
              <w:t xml:space="preserve">Subtotal </w:t>
            </w:r>
          </w:p>
        </w:tc>
        <w:tc>
          <w:tcPr>
            <w:tcW w:w="1753" w:type="dxa"/>
            <w:tcBorders>
              <w:right w:val="double" w:sz="4" w:space="0" w:color="0075A2" w:themeColor="accent2" w:themeShade="BF"/>
            </w:tcBorders>
          </w:tcPr>
          <w:p w14:paraId="15C35443" w14:textId="363993AC" w:rsidR="005D7F51" w:rsidRPr="005D7F51" w:rsidRDefault="005D7F51" w:rsidP="005D7F51">
            <w:pPr>
              <w:jc w:val="right"/>
              <w:rPr>
                <w:rFonts w:cstheme="minorHAnsi"/>
                <w:sz w:val="18"/>
                <w:szCs w:val="18"/>
              </w:rPr>
            </w:pPr>
            <w:r w:rsidRPr="005D7F51">
              <w:rPr>
                <w:rFonts w:ascii="Calibri" w:hAnsi="Calibri" w:cs="Calibri"/>
                <w:b/>
                <w:bCs/>
                <w:color w:val="3F3F3F"/>
                <w:sz w:val="18"/>
                <w:szCs w:val="18"/>
              </w:rPr>
              <w:t>£497,139</w:t>
            </w:r>
          </w:p>
        </w:tc>
        <w:tc>
          <w:tcPr>
            <w:tcW w:w="4058" w:type="dxa"/>
            <w:tcBorders>
              <w:left w:val="double" w:sz="4" w:space="0" w:color="0075A2" w:themeColor="accent2" w:themeShade="BF"/>
            </w:tcBorders>
            <w:vAlign w:val="center"/>
          </w:tcPr>
          <w:p w14:paraId="018452FA" w14:textId="77777777" w:rsidR="005D7F51" w:rsidRPr="00D71476" w:rsidRDefault="005D7F51" w:rsidP="005D7F51">
            <w:pPr>
              <w:jc w:val="right"/>
              <w:rPr>
                <w:rFonts w:cstheme="minorHAnsi"/>
                <w:sz w:val="18"/>
                <w:szCs w:val="18"/>
              </w:rPr>
            </w:pPr>
            <w:r w:rsidRPr="00D71476">
              <w:rPr>
                <w:rFonts w:cstheme="minorHAnsi"/>
                <w:sz w:val="18"/>
                <w:szCs w:val="18"/>
              </w:rPr>
              <w:t>WS4: International Links</w:t>
            </w:r>
          </w:p>
        </w:tc>
        <w:tc>
          <w:tcPr>
            <w:tcW w:w="1701" w:type="dxa"/>
            <w:vAlign w:val="bottom"/>
          </w:tcPr>
          <w:p w14:paraId="4C7002FB" w14:textId="7F8266D4" w:rsidR="005D7F51" w:rsidRPr="005D7F51" w:rsidRDefault="005D7F51" w:rsidP="005D7F51">
            <w:pPr>
              <w:jc w:val="right"/>
              <w:rPr>
                <w:rFonts w:cstheme="minorHAnsi"/>
                <w:sz w:val="18"/>
                <w:szCs w:val="18"/>
                <w:lang w:eastAsia="en-GB"/>
              </w:rPr>
            </w:pPr>
            <w:r w:rsidRPr="005D7F51">
              <w:rPr>
                <w:rFonts w:ascii="Calibri" w:hAnsi="Calibri" w:cs="Calibri"/>
                <w:color w:val="000000"/>
                <w:sz w:val="18"/>
                <w:szCs w:val="18"/>
              </w:rPr>
              <w:t>£13,702</w:t>
            </w:r>
          </w:p>
        </w:tc>
      </w:tr>
      <w:tr w:rsidR="005D7F51" w14:paraId="7B8EE467" w14:textId="77777777" w:rsidTr="00633802">
        <w:tc>
          <w:tcPr>
            <w:tcW w:w="3261" w:type="dxa"/>
            <w:vAlign w:val="center"/>
          </w:tcPr>
          <w:p w14:paraId="2FB49695" w14:textId="24FA3E81" w:rsidR="005D7F51" w:rsidRPr="005D7F51" w:rsidRDefault="005D7F51" w:rsidP="005D7F51">
            <w:pPr>
              <w:rPr>
                <w:rFonts w:cstheme="minorHAnsi"/>
                <w:sz w:val="18"/>
                <w:szCs w:val="18"/>
                <w:lang w:eastAsia="en-GB"/>
              </w:rPr>
            </w:pPr>
            <w:r w:rsidRPr="005D7F51">
              <w:rPr>
                <w:rFonts w:ascii="Calibri" w:hAnsi="Calibri" w:cs="Calibri"/>
                <w:sz w:val="18"/>
                <w:szCs w:val="18"/>
              </w:rPr>
              <w:t xml:space="preserve">Special project </w:t>
            </w:r>
            <w:r w:rsidRPr="005D7F51">
              <w:rPr>
                <w:rFonts w:ascii="Calibri" w:hAnsi="Calibri" w:cs="Calibri"/>
                <w:i/>
                <w:sz w:val="18"/>
                <w:szCs w:val="18"/>
              </w:rPr>
              <w:t>(funded by Defra)</w:t>
            </w:r>
          </w:p>
        </w:tc>
        <w:tc>
          <w:tcPr>
            <w:tcW w:w="1753" w:type="dxa"/>
            <w:tcBorders>
              <w:right w:val="double" w:sz="4" w:space="0" w:color="0075A2" w:themeColor="accent2" w:themeShade="BF"/>
            </w:tcBorders>
          </w:tcPr>
          <w:p w14:paraId="3E01950B" w14:textId="5AB3AA97" w:rsidR="005D7F51" w:rsidRPr="005D7F51" w:rsidRDefault="005D7F51" w:rsidP="005D7F51">
            <w:pPr>
              <w:jc w:val="right"/>
              <w:rPr>
                <w:rFonts w:cstheme="minorHAnsi"/>
                <w:sz w:val="18"/>
                <w:szCs w:val="18"/>
              </w:rPr>
            </w:pPr>
            <w:r w:rsidRPr="005D7F51">
              <w:rPr>
                <w:rFonts w:ascii="Calibri" w:hAnsi="Calibri" w:cs="Calibri"/>
                <w:sz w:val="18"/>
                <w:szCs w:val="18"/>
              </w:rPr>
              <w:t>£12,760</w:t>
            </w:r>
          </w:p>
        </w:tc>
        <w:tc>
          <w:tcPr>
            <w:tcW w:w="4058" w:type="dxa"/>
            <w:tcBorders>
              <w:left w:val="double" w:sz="4" w:space="0" w:color="0075A2" w:themeColor="accent2" w:themeShade="BF"/>
            </w:tcBorders>
            <w:vAlign w:val="center"/>
          </w:tcPr>
          <w:p w14:paraId="5DBF90B9" w14:textId="77777777" w:rsidR="005D7F51" w:rsidRPr="00D71476" w:rsidRDefault="005D7F51" w:rsidP="005D7F51">
            <w:pPr>
              <w:jc w:val="right"/>
              <w:rPr>
                <w:rFonts w:cstheme="minorHAnsi"/>
                <w:sz w:val="18"/>
                <w:szCs w:val="18"/>
              </w:rPr>
            </w:pPr>
            <w:r w:rsidRPr="00D71476">
              <w:rPr>
                <w:rFonts w:cstheme="minorHAnsi"/>
                <w:sz w:val="18"/>
                <w:szCs w:val="18"/>
              </w:rPr>
              <w:t>WS5: Resources and Applications</w:t>
            </w:r>
          </w:p>
        </w:tc>
        <w:tc>
          <w:tcPr>
            <w:tcW w:w="1701" w:type="dxa"/>
            <w:vAlign w:val="bottom"/>
          </w:tcPr>
          <w:p w14:paraId="191FFF39" w14:textId="1BF380EB" w:rsidR="005D7F51" w:rsidRPr="005D7F51" w:rsidRDefault="005D7F51" w:rsidP="005D7F51">
            <w:pPr>
              <w:jc w:val="right"/>
              <w:rPr>
                <w:rFonts w:cstheme="minorHAnsi"/>
                <w:sz w:val="18"/>
                <w:szCs w:val="18"/>
                <w:lang w:eastAsia="en-GB"/>
              </w:rPr>
            </w:pPr>
            <w:r w:rsidRPr="005D7F51">
              <w:rPr>
                <w:rFonts w:ascii="Calibri" w:hAnsi="Calibri" w:cs="Calibri"/>
                <w:color w:val="000000"/>
                <w:sz w:val="18"/>
                <w:szCs w:val="18"/>
              </w:rPr>
              <w:t>£26,089</w:t>
            </w:r>
          </w:p>
        </w:tc>
      </w:tr>
      <w:tr w:rsidR="005D7F51" w14:paraId="576C7EB2" w14:textId="77777777" w:rsidTr="00633802">
        <w:tc>
          <w:tcPr>
            <w:tcW w:w="3261" w:type="dxa"/>
            <w:vAlign w:val="center"/>
          </w:tcPr>
          <w:p w14:paraId="33DD3430" w14:textId="77777777" w:rsidR="005D7F51" w:rsidRPr="00D71476" w:rsidRDefault="005D7F51" w:rsidP="005D7F51">
            <w:pPr>
              <w:rPr>
                <w:rFonts w:cstheme="minorHAnsi"/>
                <w:sz w:val="18"/>
                <w:szCs w:val="18"/>
                <w:lang w:eastAsia="en-GB"/>
              </w:rPr>
            </w:pPr>
          </w:p>
        </w:tc>
        <w:tc>
          <w:tcPr>
            <w:tcW w:w="1753" w:type="dxa"/>
            <w:tcBorders>
              <w:right w:val="double" w:sz="4" w:space="0" w:color="0075A2" w:themeColor="accent2" w:themeShade="BF"/>
            </w:tcBorders>
          </w:tcPr>
          <w:p w14:paraId="4827D726" w14:textId="77777777" w:rsidR="005D7F51" w:rsidRPr="00D71476" w:rsidRDefault="005D7F51" w:rsidP="005D7F51">
            <w:pPr>
              <w:jc w:val="right"/>
              <w:rPr>
                <w:rFonts w:cstheme="minorHAnsi"/>
                <w:sz w:val="18"/>
                <w:szCs w:val="18"/>
              </w:rPr>
            </w:pPr>
          </w:p>
        </w:tc>
        <w:tc>
          <w:tcPr>
            <w:tcW w:w="4058" w:type="dxa"/>
            <w:tcBorders>
              <w:left w:val="double" w:sz="4" w:space="0" w:color="0075A2" w:themeColor="accent2" w:themeShade="BF"/>
            </w:tcBorders>
            <w:vAlign w:val="center"/>
          </w:tcPr>
          <w:p w14:paraId="3B75B21C" w14:textId="77777777" w:rsidR="005D7F51" w:rsidRPr="00D71476" w:rsidRDefault="005D7F51" w:rsidP="005D7F51">
            <w:pPr>
              <w:jc w:val="right"/>
              <w:rPr>
                <w:rFonts w:cstheme="minorHAnsi"/>
                <w:sz w:val="18"/>
                <w:szCs w:val="18"/>
              </w:rPr>
            </w:pPr>
            <w:r w:rsidRPr="00D71476">
              <w:rPr>
                <w:rFonts w:cstheme="minorHAnsi"/>
                <w:sz w:val="18"/>
                <w:szCs w:val="18"/>
              </w:rPr>
              <w:t>WS6: Communications</w:t>
            </w:r>
          </w:p>
        </w:tc>
        <w:tc>
          <w:tcPr>
            <w:tcW w:w="1701" w:type="dxa"/>
            <w:vAlign w:val="bottom"/>
          </w:tcPr>
          <w:p w14:paraId="2D3EA5D4" w14:textId="52AFD998" w:rsidR="005D7F51" w:rsidRPr="005D7F51" w:rsidRDefault="005D7F51" w:rsidP="005D7F51">
            <w:pPr>
              <w:jc w:val="right"/>
              <w:rPr>
                <w:rFonts w:cstheme="minorHAnsi"/>
                <w:sz w:val="18"/>
                <w:szCs w:val="18"/>
                <w:lang w:eastAsia="en-GB"/>
              </w:rPr>
            </w:pPr>
            <w:r w:rsidRPr="005D7F51">
              <w:rPr>
                <w:rFonts w:ascii="Calibri" w:hAnsi="Calibri" w:cs="Calibri"/>
                <w:color w:val="000000"/>
                <w:sz w:val="18"/>
                <w:szCs w:val="18"/>
              </w:rPr>
              <w:t>£49,300</w:t>
            </w:r>
          </w:p>
        </w:tc>
      </w:tr>
      <w:tr w:rsidR="005D7F51" w14:paraId="24E21D2E" w14:textId="77777777" w:rsidTr="00633802">
        <w:tc>
          <w:tcPr>
            <w:tcW w:w="3261" w:type="dxa"/>
            <w:vAlign w:val="center"/>
          </w:tcPr>
          <w:p w14:paraId="784553D8" w14:textId="77777777" w:rsidR="005D7F51" w:rsidRPr="00D71476" w:rsidRDefault="005D7F51" w:rsidP="005D7F51">
            <w:pPr>
              <w:rPr>
                <w:rFonts w:cstheme="minorHAnsi"/>
                <w:sz w:val="18"/>
                <w:szCs w:val="18"/>
                <w:lang w:eastAsia="en-GB"/>
              </w:rPr>
            </w:pPr>
          </w:p>
        </w:tc>
        <w:tc>
          <w:tcPr>
            <w:tcW w:w="1753" w:type="dxa"/>
            <w:tcBorders>
              <w:right w:val="double" w:sz="4" w:space="0" w:color="0075A2" w:themeColor="accent2" w:themeShade="BF"/>
            </w:tcBorders>
          </w:tcPr>
          <w:p w14:paraId="16AE75DD" w14:textId="77777777" w:rsidR="005D7F51" w:rsidRPr="00D71476" w:rsidRDefault="005D7F51" w:rsidP="005D7F51">
            <w:pPr>
              <w:jc w:val="right"/>
              <w:rPr>
                <w:rFonts w:cstheme="minorHAnsi"/>
                <w:sz w:val="18"/>
                <w:szCs w:val="18"/>
              </w:rPr>
            </w:pPr>
          </w:p>
        </w:tc>
        <w:tc>
          <w:tcPr>
            <w:tcW w:w="4058" w:type="dxa"/>
            <w:tcBorders>
              <w:left w:val="double" w:sz="4" w:space="0" w:color="0075A2" w:themeColor="accent2" w:themeShade="BF"/>
            </w:tcBorders>
            <w:vAlign w:val="center"/>
          </w:tcPr>
          <w:p w14:paraId="3DEC6472" w14:textId="77777777" w:rsidR="005D7F51" w:rsidRPr="00D71476" w:rsidRDefault="005D7F51" w:rsidP="005D7F51">
            <w:pPr>
              <w:jc w:val="right"/>
              <w:rPr>
                <w:rFonts w:cstheme="minorHAnsi"/>
                <w:sz w:val="18"/>
                <w:szCs w:val="18"/>
              </w:rPr>
            </w:pPr>
            <w:r w:rsidRPr="00D71476">
              <w:rPr>
                <w:rFonts w:cstheme="minorHAnsi"/>
                <w:sz w:val="18"/>
                <w:szCs w:val="18"/>
              </w:rPr>
              <w:t>WS7: Management and Coordination</w:t>
            </w:r>
          </w:p>
        </w:tc>
        <w:tc>
          <w:tcPr>
            <w:tcW w:w="1701" w:type="dxa"/>
            <w:vAlign w:val="bottom"/>
          </w:tcPr>
          <w:p w14:paraId="30D635FE" w14:textId="68FBBA4C" w:rsidR="005D7F51" w:rsidRPr="005D7F51" w:rsidRDefault="005D7F51" w:rsidP="005D7F51">
            <w:pPr>
              <w:jc w:val="right"/>
              <w:rPr>
                <w:rFonts w:cstheme="minorHAnsi"/>
                <w:sz w:val="18"/>
                <w:szCs w:val="18"/>
                <w:lang w:eastAsia="en-GB"/>
              </w:rPr>
            </w:pPr>
            <w:r w:rsidRPr="005D7F51">
              <w:rPr>
                <w:rFonts w:ascii="Calibri" w:hAnsi="Calibri" w:cs="Calibri"/>
                <w:color w:val="000000"/>
                <w:sz w:val="18"/>
                <w:szCs w:val="18"/>
              </w:rPr>
              <w:t>£94,374</w:t>
            </w:r>
          </w:p>
        </w:tc>
      </w:tr>
      <w:tr w:rsidR="005D7F51" w14:paraId="2AD08E42" w14:textId="77777777" w:rsidTr="00633802">
        <w:tc>
          <w:tcPr>
            <w:tcW w:w="3261" w:type="dxa"/>
            <w:tcBorders>
              <w:bottom w:val="double" w:sz="4" w:space="0" w:color="0075A2" w:themeColor="accent2" w:themeShade="BF"/>
            </w:tcBorders>
            <w:vAlign w:val="center"/>
          </w:tcPr>
          <w:p w14:paraId="11862144" w14:textId="77777777" w:rsidR="005D7F51" w:rsidRPr="00D71476" w:rsidRDefault="005D7F51" w:rsidP="005D7F51">
            <w:pPr>
              <w:rPr>
                <w:rFonts w:cstheme="minorHAnsi"/>
                <w:sz w:val="18"/>
                <w:szCs w:val="18"/>
                <w:lang w:eastAsia="en-GB"/>
              </w:rPr>
            </w:pPr>
          </w:p>
        </w:tc>
        <w:tc>
          <w:tcPr>
            <w:tcW w:w="1753" w:type="dxa"/>
            <w:tcBorders>
              <w:bottom w:val="double" w:sz="4" w:space="0" w:color="0075A2" w:themeColor="accent2" w:themeShade="BF"/>
              <w:right w:val="double" w:sz="4" w:space="0" w:color="0075A2" w:themeColor="accent2" w:themeShade="BF"/>
            </w:tcBorders>
          </w:tcPr>
          <w:p w14:paraId="61B6DFFA" w14:textId="77777777" w:rsidR="005D7F51" w:rsidRPr="00D71476" w:rsidRDefault="005D7F51" w:rsidP="005D7F51">
            <w:pPr>
              <w:jc w:val="right"/>
              <w:rPr>
                <w:rFonts w:cstheme="minorHAnsi"/>
                <w:sz w:val="18"/>
                <w:szCs w:val="18"/>
              </w:rPr>
            </w:pPr>
          </w:p>
        </w:tc>
        <w:tc>
          <w:tcPr>
            <w:tcW w:w="4058" w:type="dxa"/>
            <w:tcBorders>
              <w:left w:val="double" w:sz="4" w:space="0" w:color="0075A2" w:themeColor="accent2" w:themeShade="BF"/>
              <w:bottom w:val="double" w:sz="4" w:space="0" w:color="0075A2" w:themeColor="accent2" w:themeShade="BF"/>
            </w:tcBorders>
            <w:vAlign w:val="center"/>
          </w:tcPr>
          <w:p w14:paraId="3FBB7574" w14:textId="6B98967B" w:rsidR="005D7F51" w:rsidRPr="00D71476" w:rsidRDefault="005D7F51" w:rsidP="005D7F51">
            <w:pPr>
              <w:jc w:val="right"/>
              <w:rPr>
                <w:rFonts w:cstheme="minorHAnsi"/>
                <w:sz w:val="18"/>
                <w:szCs w:val="18"/>
              </w:rPr>
            </w:pPr>
            <w:r w:rsidRPr="00D71476">
              <w:rPr>
                <w:rFonts w:cstheme="minorHAnsi"/>
                <w:sz w:val="18"/>
                <w:szCs w:val="18"/>
              </w:rPr>
              <w:t>Special Project</w:t>
            </w:r>
          </w:p>
        </w:tc>
        <w:tc>
          <w:tcPr>
            <w:tcW w:w="1701" w:type="dxa"/>
            <w:tcBorders>
              <w:bottom w:val="double" w:sz="4" w:space="0" w:color="0075A2" w:themeColor="accent2" w:themeShade="BF"/>
            </w:tcBorders>
            <w:vAlign w:val="bottom"/>
          </w:tcPr>
          <w:p w14:paraId="1595B1BE" w14:textId="1BEDB28B" w:rsidR="005D7F51" w:rsidRPr="005D7F51" w:rsidRDefault="005D7F51" w:rsidP="005D7F51">
            <w:pPr>
              <w:jc w:val="right"/>
              <w:rPr>
                <w:rFonts w:cstheme="minorHAnsi"/>
                <w:sz w:val="18"/>
                <w:szCs w:val="18"/>
                <w:lang w:eastAsia="en-GB"/>
              </w:rPr>
            </w:pPr>
            <w:r w:rsidRPr="005D7F51">
              <w:rPr>
                <w:rFonts w:ascii="Calibri" w:hAnsi="Calibri" w:cs="Calibri"/>
                <w:color w:val="000000"/>
                <w:sz w:val="18"/>
                <w:szCs w:val="18"/>
              </w:rPr>
              <w:t>£12,760</w:t>
            </w:r>
          </w:p>
        </w:tc>
      </w:tr>
      <w:tr w:rsidR="005D7F51" w14:paraId="053CD598" w14:textId="77777777" w:rsidTr="00633802">
        <w:tc>
          <w:tcPr>
            <w:tcW w:w="3261" w:type="dxa"/>
            <w:tcBorders>
              <w:top w:val="double" w:sz="4" w:space="0" w:color="0075A2" w:themeColor="accent2" w:themeShade="BF"/>
              <w:bottom w:val="double" w:sz="4" w:space="0" w:color="0075A2" w:themeColor="accent2" w:themeShade="BF"/>
            </w:tcBorders>
            <w:shd w:val="clear" w:color="auto" w:fill="C9F9FC" w:themeFill="accent3" w:themeFillTint="33"/>
            <w:vAlign w:val="center"/>
          </w:tcPr>
          <w:p w14:paraId="1DEE315A" w14:textId="77777777" w:rsidR="005D7F51" w:rsidRPr="00D71476" w:rsidRDefault="005D7F51" w:rsidP="005D7F51">
            <w:pPr>
              <w:rPr>
                <w:rFonts w:cstheme="minorHAnsi"/>
                <w:sz w:val="18"/>
                <w:szCs w:val="18"/>
              </w:rPr>
            </w:pPr>
            <w:r w:rsidRPr="00D71476">
              <w:rPr>
                <w:rFonts w:cstheme="minorHAnsi"/>
                <w:b/>
                <w:bCs/>
                <w:color w:val="000000"/>
                <w:sz w:val="18"/>
                <w:szCs w:val="18"/>
              </w:rPr>
              <w:t>TOTAL expenditure</w:t>
            </w:r>
          </w:p>
        </w:tc>
        <w:tc>
          <w:tcPr>
            <w:tcW w:w="1753" w:type="dxa"/>
            <w:tcBorders>
              <w:top w:val="double" w:sz="4" w:space="0" w:color="0075A2" w:themeColor="accent2" w:themeShade="BF"/>
              <w:bottom w:val="double" w:sz="4" w:space="0" w:color="0075A2" w:themeColor="accent2" w:themeShade="BF"/>
              <w:right w:val="double" w:sz="4" w:space="0" w:color="0075A2" w:themeColor="accent2" w:themeShade="BF"/>
            </w:tcBorders>
            <w:shd w:val="clear" w:color="auto" w:fill="C9F9FC" w:themeFill="accent3" w:themeFillTint="33"/>
          </w:tcPr>
          <w:p w14:paraId="55E80616" w14:textId="6A5AB8A9" w:rsidR="005D7F51" w:rsidRPr="00D71476" w:rsidRDefault="005D7F51" w:rsidP="005D7F51">
            <w:pPr>
              <w:jc w:val="right"/>
              <w:rPr>
                <w:rFonts w:cstheme="minorHAnsi"/>
                <w:b/>
                <w:bCs/>
                <w:color w:val="000000"/>
                <w:sz w:val="18"/>
                <w:szCs w:val="18"/>
              </w:rPr>
            </w:pPr>
            <w:r>
              <w:rPr>
                <w:rFonts w:ascii="Calibri" w:hAnsi="Calibri" w:cs="Calibri"/>
                <w:b/>
                <w:bCs/>
                <w:color w:val="3F3F3F"/>
                <w:sz w:val="20"/>
                <w:szCs w:val="20"/>
              </w:rPr>
              <w:t>£509,899</w:t>
            </w:r>
          </w:p>
        </w:tc>
        <w:tc>
          <w:tcPr>
            <w:tcW w:w="4058" w:type="dxa"/>
            <w:tcBorders>
              <w:top w:val="double" w:sz="4" w:space="0" w:color="0075A2" w:themeColor="accent2" w:themeShade="BF"/>
              <w:left w:val="double" w:sz="4" w:space="0" w:color="0075A2" w:themeColor="accent2" w:themeShade="BF"/>
              <w:bottom w:val="double" w:sz="4" w:space="0" w:color="0075A2" w:themeColor="accent2" w:themeShade="BF"/>
            </w:tcBorders>
            <w:shd w:val="clear" w:color="auto" w:fill="C9F9FC" w:themeFill="accent3" w:themeFillTint="33"/>
            <w:vAlign w:val="center"/>
          </w:tcPr>
          <w:p w14:paraId="413E6344" w14:textId="77777777" w:rsidR="005D7F51" w:rsidRPr="00D71476" w:rsidRDefault="005D7F51" w:rsidP="005D7F51">
            <w:pPr>
              <w:jc w:val="right"/>
              <w:rPr>
                <w:rFonts w:cstheme="minorHAnsi"/>
                <w:b/>
                <w:bCs/>
                <w:color w:val="000000"/>
                <w:sz w:val="18"/>
                <w:szCs w:val="18"/>
              </w:rPr>
            </w:pPr>
            <w:r w:rsidRPr="00D71476">
              <w:rPr>
                <w:rFonts w:cstheme="minorHAnsi"/>
                <w:b/>
                <w:bCs/>
                <w:color w:val="000000"/>
                <w:sz w:val="18"/>
                <w:szCs w:val="18"/>
              </w:rPr>
              <w:t>TOTAL expenditure</w:t>
            </w:r>
          </w:p>
        </w:tc>
        <w:tc>
          <w:tcPr>
            <w:tcW w:w="1701" w:type="dxa"/>
            <w:tcBorders>
              <w:top w:val="double" w:sz="4" w:space="0" w:color="0075A2" w:themeColor="accent2" w:themeShade="BF"/>
              <w:bottom w:val="double" w:sz="4" w:space="0" w:color="0075A2" w:themeColor="accent2" w:themeShade="BF"/>
            </w:tcBorders>
            <w:shd w:val="clear" w:color="auto" w:fill="C9F9FC" w:themeFill="accent3" w:themeFillTint="33"/>
            <w:vAlign w:val="bottom"/>
          </w:tcPr>
          <w:p w14:paraId="1173096A" w14:textId="279D58D5" w:rsidR="005D7F51" w:rsidRPr="00494D3A" w:rsidRDefault="005D7F51" w:rsidP="005D7F51">
            <w:pPr>
              <w:jc w:val="right"/>
              <w:rPr>
                <w:rFonts w:cstheme="minorHAnsi"/>
                <w:b/>
                <w:sz w:val="18"/>
                <w:szCs w:val="18"/>
              </w:rPr>
            </w:pPr>
            <w:r w:rsidRPr="00494D3A">
              <w:rPr>
                <w:rFonts w:ascii="Calibri" w:hAnsi="Calibri" w:cs="Calibri"/>
                <w:b/>
                <w:color w:val="000000"/>
                <w:sz w:val="18"/>
                <w:szCs w:val="18"/>
              </w:rPr>
              <w:t>£509,899</w:t>
            </w:r>
          </w:p>
        </w:tc>
      </w:tr>
    </w:tbl>
    <w:p w14:paraId="09DAD089" w14:textId="77777777" w:rsidR="00E2418C" w:rsidRDefault="00E2418C" w:rsidP="00E2418C">
      <w:pPr>
        <w:pStyle w:val="Heading2"/>
        <w:rPr>
          <w:rFonts w:eastAsia="Times New Roman"/>
          <w:lang w:eastAsia="en-GB"/>
        </w:rPr>
      </w:pPr>
      <w:r>
        <w:rPr>
          <w:rFonts w:eastAsia="Times New Roman"/>
          <w:lang w:eastAsia="en-GB"/>
        </w:rPr>
        <w:lastRenderedPageBreak/>
        <w:t>End of year balance</w:t>
      </w:r>
    </w:p>
    <w:p w14:paraId="2A7EC09B" w14:textId="6A31288E" w:rsidR="00E2418C" w:rsidRPr="00C030E5" w:rsidRDefault="00C030E5" w:rsidP="00E2418C">
      <w:pPr>
        <w:rPr>
          <w:lang w:eastAsia="en-GB"/>
        </w:rPr>
      </w:pPr>
      <w:r>
        <w:rPr>
          <w:lang w:eastAsia="en-GB"/>
        </w:rPr>
        <w:t>Like most organisations around the world, t</w:t>
      </w:r>
      <w:r w:rsidR="006059AE">
        <w:rPr>
          <w:lang w:eastAsia="en-GB"/>
        </w:rPr>
        <w:t xml:space="preserve">his year saw uncertainty </w:t>
      </w:r>
      <w:r>
        <w:rPr>
          <w:lang w:eastAsia="en-GB"/>
        </w:rPr>
        <w:t xml:space="preserve">brought about by the global pandemic. </w:t>
      </w:r>
      <w:r w:rsidR="00347796">
        <w:rPr>
          <w:lang w:eastAsia="en-GB"/>
        </w:rPr>
        <w:t xml:space="preserve">The MEDIN Core Team moved to home working and continued to work effectively on progressing MEDIN’s planned work, so spending on staff costs proceeded as planned. </w:t>
      </w:r>
      <w:r w:rsidR="00F70D1B">
        <w:rPr>
          <w:lang w:eastAsia="en-GB"/>
        </w:rPr>
        <w:t>MEDIN</w:t>
      </w:r>
      <w:r>
        <w:rPr>
          <w:lang w:eastAsia="en-GB"/>
        </w:rPr>
        <w:t xml:space="preserve"> stopped all but essential travel throughout the year</w:t>
      </w:r>
      <w:r w:rsidR="00347796">
        <w:rPr>
          <w:lang w:eastAsia="en-GB"/>
        </w:rPr>
        <w:t>,</w:t>
      </w:r>
      <w:r>
        <w:rPr>
          <w:lang w:eastAsia="en-GB"/>
        </w:rPr>
        <w:t xml:space="preserve"> following the guidance of the UK government</w:t>
      </w:r>
      <w:r w:rsidR="00F70D1B">
        <w:rPr>
          <w:lang w:eastAsia="en-GB"/>
        </w:rPr>
        <w:t>.</w:t>
      </w:r>
      <w:r>
        <w:rPr>
          <w:lang w:eastAsia="en-GB"/>
        </w:rPr>
        <w:t xml:space="preserve"> </w:t>
      </w:r>
      <w:r w:rsidR="00347796">
        <w:rPr>
          <w:lang w:eastAsia="en-GB"/>
        </w:rPr>
        <w:t xml:space="preserve">Subsequently spending on travel and external contracts was </w:t>
      </w:r>
      <w:r w:rsidR="00D365E0">
        <w:rPr>
          <w:lang w:eastAsia="en-GB"/>
        </w:rPr>
        <w:t xml:space="preserve">much </w:t>
      </w:r>
      <w:r w:rsidR="00347796">
        <w:rPr>
          <w:lang w:eastAsia="en-GB"/>
        </w:rPr>
        <w:t xml:space="preserve">lower than planned, due to MEDIN not hosting face-to-face meetings or attending external conferences. Overall this </w:t>
      </w:r>
      <w:r w:rsidR="00526618">
        <w:rPr>
          <w:lang w:eastAsia="en-GB"/>
        </w:rPr>
        <w:t xml:space="preserve">resulted in </w:t>
      </w:r>
      <w:r w:rsidR="000200E9">
        <w:rPr>
          <w:lang w:eastAsia="en-GB"/>
        </w:rPr>
        <w:t xml:space="preserve">an </w:t>
      </w:r>
      <w:r w:rsidR="001C5F5E" w:rsidRPr="00921D7F">
        <w:rPr>
          <w:b/>
          <w:lang w:eastAsia="en-GB"/>
        </w:rPr>
        <w:t>end</w:t>
      </w:r>
      <w:r w:rsidR="001C5F5E">
        <w:rPr>
          <w:b/>
          <w:lang w:eastAsia="en-GB"/>
        </w:rPr>
        <w:t>-</w:t>
      </w:r>
      <w:r w:rsidR="001C5F5E" w:rsidRPr="00921D7F">
        <w:rPr>
          <w:b/>
          <w:lang w:eastAsia="en-GB"/>
        </w:rPr>
        <w:t>of</w:t>
      </w:r>
      <w:r w:rsidR="001C5F5E">
        <w:rPr>
          <w:b/>
          <w:lang w:eastAsia="en-GB"/>
        </w:rPr>
        <w:t>-</w:t>
      </w:r>
      <w:r w:rsidR="000200E9" w:rsidRPr="00921D7F">
        <w:rPr>
          <w:b/>
          <w:lang w:eastAsia="en-GB"/>
        </w:rPr>
        <w:t xml:space="preserve">year underspend of </w:t>
      </w:r>
      <w:r w:rsidR="005D04F4" w:rsidRPr="00921D7F">
        <w:rPr>
          <w:b/>
          <w:lang w:eastAsia="en-GB"/>
        </w:rPr>
        <w:t>£</w:t>
      </w:r>
      <w:r w:rsidR="00347796">
        <w:rPr>
          <w:b/>
          <w:lang w:eastAsia="en-GB"/>
        </w:rPr>
        <w:t>71,601</w:t>
      </w:r>
      <w:r w:rsidR="00526618" w:rsidRPr="00921D7F">
        <w:rPr>
          <w:b/>
          <w:lang w:eastAsia="en-GB"/>
        </w:rPr>
        <w:t xml:space="preserve"> for </w:t>
      </w:r>
      <w:r w:rsidR="00EB4903">
        <w:rPr>
          <w:b/>
          <w:lang w:eastAsia="en-GB"/>
        </w:rPr>
        <w:t>2020-21</w:t>
      </w:r>
      <w:r w:rsidR="000F2793">
        <w:rPr>
          <w:b/>
          <w:lang w:eastAsia="en-GB"/>
        </w:rPr>
        <w:t xml:space="preserve"> </w:t>
      </w:r>
      <w:r w:rsidR="000F2793">
        <w:rPr>
          <w:rFonts w:cs="Arial"/>
        </w:rPr>
        <w:t xml:space="preserve">on top of </w:t>
      </w:r>
      <w:r w:rsidR="007000A9">
        <w:rPr>
          <w:rFonts w:cs="Arial"/>
        </w:rPr>
        <w:t>a</w:t>
      </w:r>
      <w:r w:rsidR="000F2793">
        <w:rPr>
          <w:rFonts w:cs="Arial"/>
        </w:rPr>
        <w:t xml:space="preserve"> planned </w:t>
      </w:r>
      <w:r w:rsidR="000F2793">
        <w:t>underspend of £29,963</w:t>
      </w:r>
      <w:r w:rsidR="000200E9">
        <w:rPr>
          <w:lang w:eastAsia="en-GB"/>
        </w:rPr>
        <w:t>.</w:t>
      </w:r>
      <w:r w:rsidR="000200E9" w:rsidRPr="000200E9">
        <w:rPr>
          <w:lang w:val="en-US"/>
        </w:rPr>
        <w:t xml:space="preserve"> </w:t>
      </w:r>
    </w:p>
    <w:p w14:paraId="5BAFD3EC" w14:textId="77777777" w:rsidR="001A17A4" w:rsidRDefault="001A17A4" w:rsidP="001A17A4">
      <w:pPr>
        <w:pStyle w:val="Heading2"/>
        <w:rPr>
          <w:lang w:eastAsia="en-GB"/>
        </w:rPr>
      </w:pPr>
      <w:r>
        <w:rPr>
          <w:lang w:eastAsia="en-GB"/>
        </w:rPr>
        <w:t>External expenditure</w:t>
      </w:r>
    </w:p>
    <w:p w14:paraId="0361E7DE" w14:textId="6191BD28" w:rsidR="007339B5" w:rsidRPr="007339B5" w:rsidRDefault="001E0849" w:rsidP="007339B5">
      <w:pPr>
        <w:rPr>
          <w:lang w:eastAsia="en-GB"/>
        </w:rPr>
      </w:pPr>
      <w:r>
        <w:rPr>
          <w:rFonts w:ascii="Calibri" w:eastAsia="Times New Roman" w:hAnsi="Calibri" w:cs="Calibri"/>
          <w:color w:val="323130"/>
          <w:lang w:eastAsia="en-GB"/>
        </w:rPr>
        <w:t>This year MEDIN spent £</w:t>
      </w:r>
      <w:r w:rsidR="00143603">
        <w:rPr>
          <w:rFonts w:ascii="Calibri" w:eastAsia="Times New Roman" w:hAnsi="Calibri" w:cs="Calibri"/>
          <w:color w:val="323130"/>
          <w:lang w:eastAsia="en-GB"/>
        </w:rPr>
        <w:t>175,038</w:t>
      </w:r>
      <w:r>
        <w:rPr>
          <w:rFonts w:ascii="Calibri" w:eastAsia="Times New Roman" w:hAnsi="Calibri" w:cs="Calibri"/>
          <w:color w:val="323130"/>
          <w:lang w:eastAsia="en-GB"/>
        </w:rPr>
        <w:t xml:space="preserve"> on external contract costs required for the operation, maintenance and development of the MEDIN framework. </w:t>
      </w:r>
    </w:p>
    <w:tbl>
      <w:tblPr>
        <w:tblW w:w="10773" w:type="dxa"/>
        <w:tblInd w:w="-5" w:type="dxa"/>
        <w:tblLayout w:type="fixed"/>
        <w:tblLook w:val="04A0" w:firstRow="1" w:lastRow="0" w:firstColumn="1" w:lastColumn="0" w:noHBand="0" w:noVBand="1"/>
      </w:tblPr>
      <w:tblGrid>
        <w:gridCol w:w="3920"/>
        <w:gridCol w:w="5392"/>
        <w:gridCol w:w="1461"/>
      </w:tblGrid>
      <w:tr w:rsidR="0072380E" w:rsidRPr="007628F9" w14:paraId="5D907B77" w14:textId="77777777" w:rsidTr="00885452">
        <w:trPr>
          <w:trHeight w:val="20"/>
        </w:trPr>
        <w:tc>
          <w:tcPr>
            <w:tcW w:w="3920" w:type="dxa"/>
            <w:tcBorders>
              <w:bottom w:val="double" w:sz="4" w:space="0" w:color="0F6FC6" w:themeColor="accent1"/>
            </w:tcBorders>
            <w:shd w:val="clear" w:color="auto" w:fill="auto"/>
            <w:noWrap/>
            <w:vAlign w:val="bottom"/>
          </w:tcPr>
          <w:p w14:paraId="5E08EF09" w14:textId="77777777" w:rsidR="0072380E" w:rsidRPr="007628F9" w:rsidRDefault="0072380E" w:rsidP="007628F9">
            <w:pPr>
              <w:spacing w:after="0" w:line="240" w:lineRule="auto"/>
              <w:contextualSpacing/>
              <w:rPr>
                <w:rFonts w:eastAsia="Times New Roman" w:cstheme="minorHAnsi"/>
                <w:color w:val="000000"/>
                <w:sz w:val="18"/>
                <w:szCs w:val="18"/>
              </w:rPr>
            </w:pPr>
            <w:r w:rsidRPr="007628F9">
              <w:rPr>
                <w:rFonts w:cstheme="minorHAnsi"/>
                <w:b/>
                <w:sz w:val="18"/>
                <w:szCs w:val="18"/>
              </w:rPr>
              <w:t>Supplier</w:t>
            </w:r>
          </w:p>
        </w:tc>
        <w:tc>
          <w:tcPr>
            <w:tcW w:w="5392" w:type="dxa"/>
            <w:tcBorders>
              <w:bottom w:val="double" w:sz="4" w:space="0" w:color="0F6FC6" w:themeColor="accent1"/>
            </w:tcBorders>
            <w:shd w:val="clear" w:color="auto" w:fill="auto"/>
            <w:noWrap/>
            <w:vAlign w:val="bottom"/>
          </w:tcPr>
          <w:p w14:paraId="17C71FBD" w14:textId="77777777" w:rsidR="0072380E" w:rsidRPr="007628F9" w:rsidRDefault="0072380E" w:rsidP="007628F9">
            <w:pPr>
              <w:spacing w:after="0" w:line="240" w:lineRule="auto"/>
              <w:contextualSpacing/>
              <w:rPr>
                <w:rFonts w:eastAsia="Times New Roman" w:cstheme="minorHAnsi"/>
                <w:color w:val="000000"/>
                <w:sz w:val="18"/>
                <w:szCs w:val="18"/>
              </w:rPr>
            </w:pPr>
            <w:r w:rsidRPr="007628F9">
              <w:rPr>
                <w:rFonts w:cstheme="minorHAnsi"/>
                <w:b/>
                <w:sz w:val="18"/>
                <w:szCs w:val="18"/>
              </w:rPr>
              <w:t>Item</w:t>
            </w:r>
          </w:p>
        </w:tc>
        <w:tc>
          <w:tcPr>
            <w:tcW w:w="1461" w:type="dxa"/>
            <w:tcBorders>
              <w:bottom w:val="double" w:sz="4" w:space="0" w:color="0F6FC6" w:themeColor="accent1"/>
            </w:tcBorders>
            <w:shd w:val="clear" w:color="auto" w:fill="auto"/>
            <w:vAlign w:val="bottom"/>
          </w:tcPr>
          <w:p w14:paraId="4D19459D" w14:textId="77777777" w:rsidR="0072380E" w:rsidRPr="00DC196E" w:rsidRDefault="0072380E" w:rsidP="007628F9">
            <w:pPr>
              <w:spacing w:after="0" w:line="240" w:lineRule="auto"/>
              <w:contextualSpacing/>
              <w:jc w:val="right"/>
              <w:rPr>
                <w:rFonts w:cstheme="minorHAnsi"/>
                <w:color w:val="000000"/>
                <w:sz w:val="18"/>
                <w:szCs w:val="18"/>
              </w:rPr>
            </w:pPr>
            <w:r w:rsidRPr="00DC196E">
              <w:rPr>
                <w:rFonts w:cstheme="minorHAnsi"/>
                <w:b/>
                <w:sz w:val="18"/>
                <w:szCs w:val="18"/>
              </w:rPr>
              <w:t>Cost</w:t>
            </w:r>
          </w:p>
        </w:tc>
      </w:tr>
      <w:tr w:rsidR="0016475C" w:rsidRPr="007628F9" w14:paraId="1D7E15CF" w14:textId="77777777" w:rsidTr="00581230">
        <w:trPr>
          <w:trHeight w:val="20"/>
        </w:trPr>
        <w:tc>
          <w:tcPr>
            <w:tcW w:w="3920" w:type="dxa"/>
            <w:tcBorders>
              <w:top w:val="double" w:sz="4" w:space="0" w:color="0F6FC6" w:themeColor="accent1"/>
            </w:tcBorders>
            <w:shd w:val="clear" w:color="auto" w:fill="auto"/>
            <w:noWrap/>
            <w:vAlign w:val="bottom"/>
          </w:tcPr>
          <w:p w14:paraId="0ADD5F7F" w14:textId="2C00D7EA" w:rsidR="0016475C" w:rsidRPr="007628F9" w:rsidRDefault="0016475C" w:rsidP="0016475C">
            <w:pPr>
              <w:spacing w:after="0" w:line="240" w:lineRule="auto"/>
              <w:contextualSpacing/>
              <w:rPr>
                <w:rFonts w:eastAsia="Times New Roman" w:cstheme="minorHAnsi"/>
                <w:color w:val="000000"/>
                <w:sz w:val="18"/>
                <w:szCs w:val="18"/>
              </w:rPr>
            </w:pPr>
            <w:r>
              <w:rPr>
                <w:rFonts w:eastAsia="Times New Roman" w:cstheme="minorHAnsi"/>
                <w:color w:val="000000"/>
                <w:sz w:val="20"/>
                <w:szCs w:val="20"/>
              </w:rPr>
              <w:t>BGS</w:t>
            </w:r>
          </w:p>
        </w:tc>
        <w:tc>
          <w:tcPr>
            <w:tcW w:w="5392" w:type="dxa"/>
            <w:tcBorders>
              <w:top w:val="double" w:sz="4" w:space="0" w:color="0F6FC6" w:themeColor="accent1"/>
            </w:tcBorders>
            <w:shd w:val="clear" w:color="auto" w:fill="auto"/>
            <w:noWrap/>
            <w:vAlign w:val="bottom"/>
          </w:tcPr>
          <w:p w14:paraId="69A547C0" w14:textId="3767E661" w:rsidR="0016475C" w:rsidRPr="007628F9" w:rsidRDefault="0016475C" w:rsidP="0016475C">
            <w:pPr>
              <w:spacing w:after="0" w:line="240" w:lineRule="auto"/>
              <w:contextualSpacing/>
              <w:rPr>
                <w:rFonts w:eastAsia="Times New Roman" w:cstheme="minorHAnsi"/>
                <w:color w:val="000000"/>
                <w:sz w:val="18"/>
                <w:szCs w:val="18"/>
              </w:rPr>
            </w:pPr>
            <w:r>
              <w:rPr>
                <w:rFonts w:eastAsia="Times New Roman" w:cstheme="minorHAnsi"/>
                <w:color w:val="000000"/>
                <w:sz w:val="20"/>
                <w:szCs w:val="20"/>
              </w:rPr>
              <w:t>DAC costs 2020-21</w:t>
            </w:r>
          </w:p>
        </w:tc>
        <w:tc>
          <w:tcPr>
            <w:tcW w:w="1461" w:type="dxa"/>
            <w:tcBorders>
              <w:top w:val="double" w:sz="4" w:space="0" w:color="0F6FC6" w:themeColor="accent1"/>
            </w:tcBorders>
            <w:shd w:val="clear" w:color="auto" w:fill="auto"/>
            <w:vAlign w:val="center"/>
          </w:tcPr>
          <w:p w14:paraId="04BE8EEF" w14:textId="70789AE8" w:rsidR="0016475C" w:rsidRPr="00DC196E" w:rsidRDefault="0016475C" w:rsidP="0016475C">
            <w:pPr>
              <w:spacing w:after="0" w:line="240" w:lineRule="auto"/>
              <w:contextualSpacing/>
              <w:jc w:val="right"/>
              <w:rPr>
                <w:rFonts w:eastAsia="Times New Roman" w:cstheme="minorHAnsi"/>
                <w:color w:val="000000"/>
                <w:sz w:val="18"/>
                <w:szCs w:val="18"/>
              </w:rPr>
            </w:pPr>
            <w:r>
              <w:rPr>
                <w:rFonts w:ascii="Calibri" w:hAnsi="Calibri" w:cstheme="minorHAnsi"/>
                <w:color w:val="000000"/>
                <w:sz w:val="18"/>
                <w:szCs w:val="18"/>
              </w:rPr>
              <w:t>£11,000</w:t>
            </w:r>
          </w:p>
        </w:tc>
      </w:tr>
      <w:tr w:rsidR="0016475C" w:rsidRPr="007628F9" w14:paraId="0B4A486D" w14:textId="77777777" w:rsidTr="00581230">
        <w:trPr>
          <w:trHeight w:val="20"/>
        </w:trPr>
        <w:tc>
          <w:tcPr>
            <w:tcW w:w="3920" w:type="dxa"/>
            <w:shd w:val="clear" w:color="auto" w:fill="auto"/>
            <w:noWrap/>
            <w:vAlign w:val="bottom"/>
          </w:tcPr>
          <w:p w14:paraId="09175568" w14:textId="51339F2C" w:rsidR="0016475C" w:rsidRPr="007628F9" w:rsidRDefault="0016475C" w:rsidP="0016475C">
            <w:pPr>
              <w:spacing w:after="0" w:line="240" w:lineRule="auto"/>
              <w:contextualSpacing/>
              <w:rPr>
                <w:rFonts w:eastAsia="Times New Roman" w:cstheme="minorHAnsi"/>
                <w:color w:val="000000"/>
                <w:sz w:val="18"/>
                <w:szCs w:val="18"/>
              </w:rPr>
            </w:pPr>
            <w:r>
              <w:rPr>
                <w:rFonts w:eastAsia="Times New Roman" w:cstheme="minorHAnsi"/>
                <w:color w:val="000000"/>
                <w:sz w:val="20"/>
                <w:szCs w:val="20"/>
              </w:rPr>
              <w:t xml:space="preserve">BODC </w:t>
            </w:r>
          </w:p>
        </w:tc>
        <w:tc>
          <w:tcPr>
            <w:tcW w:w="5392" w:type="dxa"/>
            <w:shd w:val="clear" w:color="auto" w:fill="auto"/>
            <w:noWrap/>
          </w:tcPr>
          <w:p w14:paraId="5F343AE4" w14:textId="446E4BAD" w:rsidR="0016475C" w:rsidRPr="007628F9" w:rsidRDefault="0016475C" w:rsidP="0016475C">
            <w:pPr>
              <w:spacing w:after="0" w:line="240" w:lineRule="auto"/>
              <w:contextualSpacing/>
              <w:rPr>
                <w:rFonts w:eastAsia="Times New Roman" w:cstheme="minorHAnsi"/>
                <w:color w:val="000000"/>
                <w:sz w:val="18"/>
                <w:szCs w:val="18"/>
              </w:rPr>
            </w:pPr>
            <w:r>
              <w:rPr>
                <w:rFonts w:eastAsia="Times New Roman" w:cstheme="minorHAnsi"/>
                <w:color w:val="000000"/>
                <w:sz w:val="20"/>
                <w:szCs w:val="20"/>
              </w:rPr>
              <w:t>DAC costs 2020-21</w:t>
            </w:r>
          </w:p>
        </w:tc>
        <w:tc>
          <w:tcPr>
            <w:tcW w:w="1461" w:type="dxa"/>
            <w:shd w:val="clear" w:color="auto" w:fill="auto"/>
            <w:vAlign w:val="center"/>
          </w:tcPr>
          <w:p w14:paraId="71C41AEF" w14:textId="51C37B7B" w:rsidR="0016475C" w:rsidRPr="00DC196E" w:rsidRDefault="0016475C" w:rsidP="0016475C">
            <w:pPr>
              <w:spacing w:after="0" w:line="240" w:lineRule="auto"/>
              <w:contextualSpacing/>
              <w:jc w:val="right"/>
              <w:rPr>
                <w:rFonts w:eastAsia="Times New Roman" w:cstheme="minorHAnsi"/>
                <w:color w:val="000000"/>
                <w:sz w:val="18"/>
                <w:szCs w:val="18"/>
              </w:rPr>
            </w:pPr>
            <w:r>
              <w:rPr>
                <w:rFonts w:ascii="Calibri" w:hAnsi="Calibri" w:cstheme="minorHAnsi"/>
                <w:color w:val="000000"/>
                <w:sz w:val="18"/>
                <w:szCs w:val="18"/>
              </w:rPr>
              <w:t>£11,000</w:t>
            </w:r>
          </w:p>
        </w:tc>
      </w:tr>
      <w:tr w:rsidR="0016475C" w:rsidRPr="007628F9" w14:paraId="25D5BB2F" w14:textId="77777777" w:rsidTr="00581230">
        <w:trPr>
          <w:trHeight w:val="20"/>
        </w:trPr>
        <w:tc>
          <w:tcPr>
            <w:tcW w:w="3920" w:type="dxa"/>
            <w:shd w:val="clear" w:color="auto" w:fill="auto"/>
            <w:noWrap/>
            <w:vAlign w:val="bottom"/>
          </w:tcPr>
          <w:p w14:paraId="3BC92BFB" w14:textId="4C2A3926" w:rsidR="0016475C" w:rsidRPr="007628F9" w:rsidRDefault="00205CC7" w:rsidP="0016475C">
            <w:pPr>
              <w:spacing w:after="0" w:line="240" w:lineRule="auto"/>
              <w:contextualSpacing/>
              <w:rPr>
                <w:rFonts w:eastAsia="Times New Roman" w:cstheme="minorHAnsi"/>
                <w:color w:val="000000"/>
                <w:sz w:val="18"/>
                <w:szCs w:val="18"/>
              </w:rPr>
            </w:pPr>
            <w:r>
              <w:rPr>
                <w:rFonts w:eastAsia="Times New Roman" w:cstheme="minorHAnsi"/>
                <w:color w:val="000000"/>
                <w:sz w:val="20"/>
                <w:szCs w:val="20"/>
              </w:rPr>
              <w:t xml:space="preserve">MBA / </w:t>
            </w:r>
            <w:r w:rsidR="0016475C">
              <w:rPr>
                <w:rFonts w:eastAsia="Times New Roman" w:cstheme="minorHAnsi"/>
                <w:color w:val="000000"/>
                <w:sz w:val="20"/>
                <w:szCs w:val="20"/>
              </w:rPr>
              <w:t>DASSH</w:t>
            </w:r>
          </w:p>
        </w:tc>
        <w:tc>
          <w:tcPr>
            <w:tcW w:w="5392" w:type="dxa"/>
            <w:shd w:val="clear" w:color="auto" w:fill="auto"/>
            <w:noWrap/>
          </w:tcPr>
          <w:p w14:paraId="2FA9005F" w14:textId="216DA991" w:rsidR="0016475C" w:rsidRPr="007628F9" w:rsidRDefault="0016475C" w:rsidP="0016475C">
            <w:pPr>
              <w:spacing w:after="0" w:line="240" w:lineRule="auto"/>
              <w:contextualSpacing/>
              <w:rPr>
                <w:rFonts w:eastAsia="Times New Roman" w:cstheme="minorHAnsi"/>
                <w:color w:val="000000"/>
                <w:sz w:val="18"/>
                <w:szCs w:val="18"/>
              </w:rPr>
            </w:pPr>
            <w:r>
              <w:rPr>
                <w:rFonts w:eastAsia="Times New Roman" w:cstheme="minorHAnsi"/>
                <w:color w:val="000000"/>
                <w:sz w:val="20"/>
                <w:szCs w:val="20"/>
              </w:rPr>
              <w:t>DAC costs 2020-21</w:t>
            </w:r>
          </w:p>
        </w:tc>
        <w:tc>
          <w:tcPr>
            <w:tcW w:w="1461" w:type="dxa"/>
            <w:shd w:val="clear" w:color="auto" w:fill="auto"/>
            <w:vAlign w:val="center"/>
          </w:tcPr>
          <w:p w14:paraId="017FFB3B" w14:textId="65F9A483" w:rsidR="0016475C" w:rsidRPr="00DC196E" w:rsidRDefault="0016475C" w:rsidP="0016475C">
            <w:pPr>
              <w:spacing w:after="0" w:line="240" w:lineRule="auto"/>
              <w:contextualSpacing/>
              <w:jc w:val="right"/>
              <w:rPr>
                <w:rFonts w:eastAsia="Times New Roman" w:cstheme="minorHAnsi"/>
                <w:color w:val="000000"/>
                <w:sz w:val="18"/>
                <w:szCs w:val="18"/>
              </w:rPr>
            </w:pPr>
            <w:r>
              <w:rPr>
                <w:rFonts w:ascii="Calibri" w:hAnsi="Calibri" w:cstheme="minorHAnsi"/>
                <w:color w:val="000000"/>
                <w:sz w:val="18"/>
                <w:szCs w:val="18"/>
              </w:rPr>
              <w:t>£13,200</w:t>
            </w:r>
          </w:p>
        </w:tc>
      </w:tr>
      <w:tr w:rsidR="0016475C" w:rsidRPr="007628F9" w14:paraId="1B24A073" w14:textId="77777777" w:rsidTr="00581230">
        <w:trPr>
          <w:trHeight w:val="20"/>
        </w:trPr>
        <w:tc>
          <w:tcPr>
            <w:tcW w:w="3920" w:type="dxa"/>
            <w:shd w:val="clear" w:color="auto" w:fill="auto"/>
            <w:noWrap/>
            <w:vAlign w:val="bottom"/>
          </w:tcPr>
          <w:p w14:paraId="137ACF1F" w14:textId="626D86CF" w:rsidR="0016475C" w:rsidRPr="007628F9" w:rsidRDefault="0016475C" w:rsidP="0016475C">
            <w:pPr>
              <w:spacing w:after="0" w:line="240" w:lineRule="auto"/>
              <w:contextualSpacing/>
              <w:rPr>
                <w:rFonts w:eastAsia="Times New Roman" w:cstheme="minorHAnsi"/>
                <w:color w:val="000000"/>
                <w:sz w:val="18"/>
                <w:szCs w:val="18"/>
              </w:rPr>
            </w:pPr>
            <w:r>
              <w:rPr>
                <w:rFonts w:eastAsia="Times New Roman" w:cstheme="minorHAnsi"/>
                <w:color w:val="000000"/>
                <w:sz w:val="20"/>
                <w:szCs w:val="20"/>
              </w:rPr>
              <w:t>UKHO</w:t>
            </w:r>
          </w:p>
        </w:tc>
        <w:tc>
          <w:tcPr>
            <w:tcW w:w="5392" w:type="dxa"/>
            <w:shd w:val="clear" w:color="auto" w:fill="auto"/>
            <w:noWrap/>
          </w:tcPr>
          <w:p w14:paraId="69689D75" w14:textId="1ED98FF6" w:rsidR="0016475C" w:rsidRPr="007628F9" w:rsidRDefault="0016475C" w:rsidP="0016475C">
            <w:pPr>
              <w:spacing w:after="0" w:line="240" w:lineRule="auto"/>
              <w:contextualSpacing/>
              <w:rPr>
                <w:rFonts w:eastAsia="Times New Roman" w:cstheme="minorHAnsi"/>
                <w:color w:val="000000"/>
                <w:sz w:val="18"/>
                <w:szCs w:val="18"/>
              </w:rPr>
            </w:pPr>
            <w:r>
              <w:rPr>
                <w:rFonts w:eastAsia="Times New Roman" w:cstheme="minorHAnsi"/>
                <w:color w:val="000000"/>
                <w:sz w:val="20"/>
                <w:szCs w:val="20"/>
              </w:rPr>
              <w:t>DAC costs 2020-21</w:t>
            </w:r>
          </w:p>
        </w:tc>
        <w:tc>
          <w:tcPr>
            <w:tcW w:w="1461" w:type="dxa"/>
            <w:shd w:val="clear" w:color="auto" w:fill="auto"/>
            <w:vAlign w:val="center"/>
          </w:tcPr>
          <w:p w14:paraId="6D6D74BE" w14:textId="03729E70" w:rsidR="0016475C" w:rsidRPr="00DC196E" w:rsidRDefault="0016475C" w:rsidP="0016475C">
            <w:pPr>
              <w:spacing w:after="0" w:line="240" w:lineRule="auto"/>
              <w:contextualSpacing/>
              <w:jc w:val="right"/>
              <w:rPr>
                <w:rFonts w:eastAsia="Times New Roman" w:cstheme="minorHAnsi"/>
                <w:color w:val="000000"/>
                <w:sz w:val="18"/>
                <w:szCs w:val="18"/>
              </w:rPr>
            </w:pPr>
            <w:r>
              <w:rPr>
                <w:rFonts w:ascii="Calibri" w:hAnsi="Calibri" w:cstheme="minorHAnsi"/>
                <w:color w:val="000000"/>
                <w:sz w:val="18"/>
                <w:szCs w:val="18"/>
              </w:rPr>
              <w:t>£13,200</w:t>
            </w:r>
          </w:p>
        </w:tc>
      </w:tr>
      <w:tr w:rsidR="0016475C" w:rsidRPr="007628F9" w14:paraId="5C57CE52" w14:textId="77777777" w:rsidTr="00581230">
        <w:trPr>
          <w:trHeight w:val="20"/>
        </w:trPr>
        <w:tc>
          <w:tcPr>
            <w:tcW w:w="3920" w:type="dxa"/>
            <w:shd w:val="clear" w:color="auto" w:fill="auto"/>
            <w:noWrap/>
            <w:vAlign w:val="bottom"/>
          </w:tcPr>
          <w:p w14:paraId="672C2654" w14:textId="64F4CD76" w:rsidR="0016475C" w:rsidRPr="007628F9" w:rsidRDefault="0016475C" w:rsidP="0016475C">
            <w:pPr>
              <w:spacing w:after="0" w:line="240" w:lineRule="auto"/>
              <w:contextualSpacing/>
              <w:rPr>
                <w:rFonts w:eastAsia="Times New Roman" w:cstheme="minorHAnsi"/>
                <w:color w:val="000000"/>
                <w:sz w:val="18"/>
                <w:szCs w:val="18"/>
              </w:rPr>
            </w:pPr>
            <w:r>
              <w:rPr>
                <w:rFonts w:eastAsia="Times New Roman" w:cstheme="minorHAnsi"/>
                <w:color w:val="000000"/>
                <w:sz w:val="20"/>
                <w:szCs w:val="20"/>
              </w:rPr>
              <w:t>Met Office</w:t>
            </w:r>
          </w:p>
        </w:tc>
        <w:tc>
          <w:tcPr>
            <w:tcW w:w="5392" w:type="dxa"/>
            <w:shd w:val="clear" w:color="auto" w:fill="auto"/>
            <w:noWrap/>
          </w:tcPr>
          <w:p w14:paraId="23C75A74" w14:textId="1E7B04B5" w:rsidR="0016475C" w:rsidRPr="007628F9" w:rsidRDefault="0016475C" w:rsidP="0016475C">
            <w:pPr>
              <w:spacing w:after="0" w:line="240" w:lineRule="auto"/>
              <w:contextualSpacing/>
              <w:rPr>
                <w:rFonts w:eastAsia="Times New Roman" w:cstheme="minorHAnsi"/>
                <w:color w:val="000000"/>
                <w:sz w:val="18"/>
                <w:szCs w:val="18"/>
              </w:rPr>
            </w:pPr>
            <w:r>
              <w:rPr>
                <w:rFonts w:eastAsia="Times New Roman" w:cstheme="minorHAnsi"/>
                <w:color w:val="000000"/>
                <w:sz w:val="20"/>
                <w:szCs w:val="20"/>
              </w:rPr>
              <w:t>DAC costs 2020-21</w:t>
            </w:r>
          </w:p>
        </w:tc>
        <w:tc>
          <w:tcPr>
            <w:tcW w:w="1461" w:type="dxa"/>
            <w:shd w:val="clear" w:color="auto" w:fill="auto"/>
            <w:vAlign w:val="center"/>
          </w:tcPr>
          <w:p w14:paraId="31E5EA3C" w14:textId="0BC3CC33" w:rsidR="0016475C" w:rsidRPr="00DC196E" w:rsidRDefault="0016475C" w:rsidP="0016475C">
            <w:pPr>
              <w:spacing w:after="0" w:line="240" w:lineRule="auto"/>
              <w:contextualSpacing/>
              <w:jc w:val="right"/>
              <w:rPr>
                <w:rFonts w:eastAsia="Times New Roman" w:cstheme="minorHAnsi"/>
                <w:color w:val="000000"/>
                <w:sz w:val="18"/>
                <w:szCs w:val="18"/>
              </w:rPr>
            </w:pPr>
            <w:r>
              <w:rPr>
                <w:rFonts w:ascii="Calibri" w:hAnsi="Calibri" w:cstheme="minorHAnsi"/>
                <w:color w:val="000000"/>
                <w:sz w:val="18"/>
                <w:szCs w:val="18"/>
              </w:rPr>
              <w:t>£13,200</w:t>
            </w:r>
          </w:p>
        </w:tc>
      </w:tr>
      <w:tr w:rsidR="0016475C" w:rsidRPr="007628F9" w14:paraId="419E890E" w14:textId="77777777" w:rsidTr="00581230">
        <w:trPr>
          <w:trHeight w:val="20"/>
        </w:trPr>
        <w:tc>
          <w:tcPr>
            <w:tcW w:w="3920" w:type="dxa"/>
            <w:shd w:val="clear" w:color="auto" w:fill="auto"/>
            <w:noWrap/>
            <w:vAlign w:val="bottom"/>
          </w:tcPr>
          <w:p w14:paraId="2F93076B" w14:textId="1EB7109E" w:rsidR="0016475C" w:rsidRPr="007628F9" w:rsidRDefault="0016475C" w:rsidP="0016475C">
            <w:pPr>
              <w:spacing w:after="0" w:line="240" w:lineRule="auto"/>
              <w:contextualSpacing/>
              <w:rPr>
                <w:rFonts w:eastAsia="Times New Roman" w:cstheme="minorHAnsi"/>
                <w:color w:val="000000"/>
                <w:sz w:val="18"/>
                <w:szCs w:val="18"/>
              </w:rPr>
            </w:pPr>
            <w:r>
              <w:rPr>
                <w:rFonts w:eastAsia="Times New Roman" w:cstheme="minorHAnsi"/>
                <w:color w:val="000000"/>
                <w:sz w:val="20"/>
                <w:szCs w:val="20"/>
              </w:rPr>
              <w:t>Fish DAC CEFAS</w:t>
            </w:r>
          </w:p>
        </w:tc>
        <w:tc>
          <w:tcPr>
            <w:tcW w:w="5392" w:type="dxa"/>
            <w:shd w:val="clear" w:color="auto" w:fill="auto"/>
            <w:noWrap/>
          </w:tcPr>
          <w:p w14:paraId="36904F5D" w14:textId="70053451" w:rsidR="0016475C" w:rsidRPr="007628F9" w:rsidRDefault="0016475C" w:rsidP="0016475C">
            <w:pPr>
              <w:spacing w:after="0" w:line="240" w:lineRule="auto"/>
              <w:contextualSpacing/>
              <w:rPr>
                <w:rFonts w:eastAsia="Times New Roman" w:cstheme="minorHAnsi"/>
                <w:color w:val="000000"/>
                <w:sz w:val="18"/>
                <w:szCs w:val="18"/>
              </w:rPr>
            </w:pPr>
            <w:r>
              <w:rPr>
                <w:rFonts w:eastAsia="Times New Roman" w:cstheme="minorHAnsi"/>
                <w:color w:val="000000"/>
                <w:sz w:val="20"/>
                <w:szCs w:val="20"/>
              </w:rPr>
              <w:t>DAC costs 2020-21</w:t>
            </w:r>
          </w:p>
        </w:tc>
        <w:tc>
          <w:tcPr>
            <w:tcW w:w="1461" w:type="dxa"/>
            <w:shd w:val="clear" w:color="auto" w:fill="auto"/>
            <w:vAlign w:val="center"/>
          </w:tcPr>
          <w:p w14:paraId="5941852A" w14:textId="7542773F" w:rsidR="0016475C" w:rsidRPr="00DC196E" w:rsidRDefault="0016475C" w:rsidP="0016475C">
            <w:pPr>
              <w:spacing w:after="0" w:line="240" w:lineRule="auto"/>
              <w:contextualSpacing/>
              <w:jc w:val="right"/>
              <w:rPr>
                <w:rFonts w:eastAsia="Times New Roman" w:cstheme="minorHAnsi"/>
                <w:color w:val="000000"/>
                <w:sz w:val="18"/>
                <w:szCs w:val="18"/>
              </w:rPr>
            </w:pPr>
            <w:r>
              <w:rPr>
                <w:rFonts w:ascii="Calibri" w:hAnsi="Calibri" w:cstheme="minorHAnsi"/>
                <w:color w:val="000000"/>
                <w:sz w:val="18"/>
                <w:szCs w:val="18"/>
              </w:rPr>
              <w:t>£6,600</w:t>
            </w:r>
          </w:p>
        </w:tc>
      </w:tr>
      <w:tr w:rsidR="0016475C" w:rsidRPr="007628F9" w14:paraId="28D16048" w14:textId="77777777" w:rsidTr="00581230">
        <w:trPr>
          <w:trHeight w:val="20"/>
        </w:trPr>
        <w:tc>
          <w:tcPr>
            <w:tcW w:w="3920" w:type="dxa"/>
            <w:shd w:val="clear" w:color="auto" w:fill="auto"/>
            <w:noWrap/>
            <w:vAlign w:val="bottom"/>
          </w:tcPr>
          <w:p w14:paraId="79FCAE08" w14:textId="6C7AA966" w:rsidR="0016475C" w:rsidRPr="007628F9" w:rsidRDefault="0016475C" w:rsidP="0016475C">
            <w:pPr>
              <w:spacing w:after="0" w:line="240" w:lineRule="auto"/>
              <w:contextualSpacing/>
              <w:rPr>
                <w:rFonts w:eastAsia="Times New Roman" w:cstheme="minorHAnsi"/>
                <w:color w:val="000000"/>
                <w:sz w:val="18"/>
                <w:szCs w:val="18"/>
              </w:rPr>
            </w:pPr>
            <w:r>
              <w:rPr>
                <w:rFonts w:eastAsia="Times New Roman" w:cstheme="minorHAnsi"/>
                <w:color w:val="000000"/>
                <w:sz w:val="20"/>
                <w:szCs w:val="20"/>
              </w:rPr>
              <w:t>Fish DAC Marine Scotland</w:t>
            </w:r>
            <w:r>
              <w:rPr>
                <w:rStyle w:val="FootnoteReference"/>
                <w:rFonts w:eastAsia="Times New Roman" w:cstheme="minorHAnsi"/>
                <w:color w:val="000000"/>
                <w:sz w:val="20"/>
                <w:szCs w:val="20"/>
              </w:rPr>
              <w:footnoteReference w:id="3"/>
            </w:r>
          </w:p>
        </w:tc>
        <w:tc>
          <w:tcPr>
            <w:tcW w:w="5392" w:type="dxa"/>
            <w:shd w:val="clear" w:color="auto" w:fill="auto"/>
            <w:noWrap/>
          </w:tcPr>
          <w:p w14:paraId="6DAD61D7" w14:textId="79132E0C" w:rsidR="0016475C" w:rsidRPr="007628F9" w:rsidRDefault="0016475C" w:rsidP="0016475C">
            <w:pPr>
              <w:spacing w:after="0" w:line="240" w:lineRule="auto"/>
              <w:contextualSpacing/>
              <w:rPr>
                <w:rFonts w:eastAsia="Times New Roman" w:cstheme="minorHAnsi"/>
                <w:color w:val="000000"/>
                <w:sz w:val="18"/>
                <w:szCs w:val="18"/>
              </w:rPr>
            </w:pPr>
            <w:r>
              <w:rPr>
                <w:rFonts w:eastAsia="Times New Roman" w:cstheme="minorHAnsi"/>
                <w:color w:val="000000"/>
                <w:sz w:val="20"/>
                <w:szCs w:val="20"/>
              </w:rPr>
              <w:t>DAC costs 2020-21</w:t>
            </w:r>
          </w:p>
        </w:tc>
        <w:tc>
          <w:tcPr>
            <w:tcW w:w="1461" w:type="dxa"/>
            <w:shd w:val="clear" w:color="auto" w:fill="auto"/>
            <w:vAlign w:val="center"/>
          </w:tcPr>
          <w:p w14:paraId="2F8F558A" w14:textId="534AD5E8" w:rsidR="0016475C" w:rsidRPr="00DC196E" w:rsidRDefault="0016475C" w:rsidP="0016475C">
            <w:pPr>
              <w:spacing w:after="0" w:line="240" w:lineRule="auto"/>
              <w:contextualSpacing/>
              <w:jc w:val="right"/>
              <w:rPr>
                <w:rFonts w:eastAsia="Times New Roman" w:cstheme="minorHAnsi"/>
                <w:color w:val="000000"/>
                <w:sz w:val="18"/>
                <w:szCs w:val="18"/>
              </w:rPr>
            </w:pPr>
          </w:p>
        </w:tc>
      </w:tr>
      <w:tr w:rsidR="0016475C" w:rsidRPr="007628F9" w14:paraId="27459A2E" w14:textId="77777777" w:rsidTr="00581230">
        <w:trPr>
          <w:trHeight w:val="20"/>
        </w:trPr>
        <w:tc>
          <w:tcPr>
            <w:tcW w:w="3920" w:type="dxa"/>
            <w:shd w:val="clear" w:color="auto" w:fill="auto"/>
            <w:noWrap/>
            <w:vAlign w:val="bottom"/>
          </w:tcPr>
          <w:p w14:paraId="03677922" w14:textId="2D67F922" w:rsidR="0016475C" w:rsidRPr="007628F9" w:rsidRDefault="0016475C" w:rsidP="0016475C">
            <w:pPr>
              <w:spacing w:after="0" w:line="240" w:lineRule="auto"/>
              <w:contextualSpacing/>
              <w:rPr>
                <w:rFonts w:eastAsia="Times New Roman" w:cstheme="minorHAnsi"/>
                <w:color w:val="000000"/>
                <w:sz w:val="18"/>
                <w:szCs w:val="18"/>
              </w:rPr>
            </w:pPr>
            <w:r>
              <w:rPr>
                <w:rFonts w:eastAsia="Times New Roman" w:cstheme="minorHAnsi"/>
                <w:color w:val="000000"/>
                <w:sz w:val="20"/>
                <w:szCs w:val="20"/>
              </w:rPr>
              <w:t>Historic Environment DAC ADS</w:t>
            </w:r>
          </w:p>
        </w:tc>
        <w:tc>
          <w:tcPr>
            <w:tcW w:w="5392" w:type="dxa"/>
            <w:shd w:val="clear" w:color="auto" w:fill="auto"/>
            <w:noWrap/>
          </w:tcPr>
          <w:p w14:paraId="339ED210" w14:textId="08CD4C38" w:rsidR="0016475C" w:rsidRPr="007628F9" w:rsidRDefault="0016475C" w:rsidP="0016475C">
            <w:pPr>
              <w:spacing w:after="0" w:line="240" w:lineRule="auto"/>
              <w:contextualSpacing/>
              <w:rPr>
                <w:rFonts w:eastAsia="Times New Roman" w:cstheme="minorHAnsi"/>
                <w:color w:val="000000"/>
                <w:sz w:val="18"/>
                <w:szCs w:val="18"/>
              </w:rPr>
            </w:pPr>
            <w:r>
              <w:rPr>
                <w:rFonts w:eastAsia="Times New Roman" w:cstheme="minorHAnsi"/>
                <w:color w:val="000000"/>
                <w:sz w:val="20"/>
                <w:szCs w:val="20"/>
              </w:rPr>
              <w:t>DAC costs 2020-21</w:t>
            </w:r>
          </w:p>
        </w:tc>
        <w:tc>
          <w:tcPr>
            <w:tcW w:w="1461" w:type="dxa"/>
            <w:shd w:val="clear" w:color="auto" w:fill="auto"/>
            <w:vAlign w:val="center"/>
          </w:tcPr>
          <w:p w14:paraId="6EED78F1" w14:textId="331EBF12" w:rsidR="0016475C" w:rsidRPr="00DC196E" w:rsidRDefault="0016475C" w:rsidP="0016475C">
            <w:pPr>
              <w:spacing w:after="0" w:line="240" w:lineRule="auto"/>
              <w:contextualSpacing/>
              <w:jc w:val="right"/>
              <w:rPr>
                <w:rFonts w:eastAsia="Times New Roman" w:cstheme="minorHAnsi"/>
                <w:color w:val="000000"/>
                <w:sz w:val="18"/>
                <w:szCs w:val="18"/>
              </w:rPr>
            </w:pPr>
            <w:r>
              <w:rPr>
                <w:rFonts w:ascii="Calibri" w:hAnsi="Calibri" w:cstheme="minorHAnsi"/>
                <w:color w:val="000000"/>
                <w:sz w:val="18"/>
                <w:szCs w:val="18"/>
              </w:rPr>
              <w:t>£6,000</w:t>
            </w:r>
          </w:p>
        </w:tc>
      </w:tr>
      <w:tr w:rsidR="0016475C" w:rsidRPr="007628F9" w14:paraId="691510C0" w14:textId="77777777" w:rsidTr="00581230">
        <w:trPr>
          <w:trHeight w:val="20"/>
        </w:trPr>
        <w:tc>
          <w:tcPr>
            <w:tcW w:w="3920" w:type="dxa"/>
            <w:shd w:val="clear" w:color="auto" w:fill="auto"/>
            <w:noWrap/>
            <w:vAlign w:val="bottom"/>
          </w:tcPr>
          <w:p w14:paraId="3438AE74" w14:textId="43D3D6B5" w:rsidR="0016475C" w:rsidRPr="007628F9" w:rsidRDefault="0016475C" w:rsidP="0016475C">
            <w:pPr>
              <w:spacing w:after="0" w:line="240" w:lineRule="auto"/>
              <w:contextualSpacing/>
              <w:rPr>
                <w:rFonts w:eastAsia="Times New Roman" w:cstheme="minorHAnsi"/>
                <w:color w:val="000000"/>
                <w:sz w:val="18"/>
                <w:szCs w:val="18"/>
              </w:rPr>
            </w:pPr>
            <w:r>
              <w:rPr>
                <w:rFonts w:eastAsia="Times New Roman" w:cstheme="minorHAnsi"/>
                <w:color w:val="000000"/>
                <w:sz w:val="20"/>
                <w:szCs w:val="20"/>
              </w:rPr>
              <w:t>Historic Environment DAC HES</w:t>
            </w:r>
          </w:p>
        </w:tc>
        <w:tc>
          <w:tcPr>
            <w:tcW w:w="5392" w:type="dxa"/>
            <w:shd w:val="clear" w:color="auto" w:fill="auto"/>
            <w:noWrap/>
          </w:tcPr>
          <w:p w14:paraId="7D896683" w14:textId="30E0BE90" w:rsidR="0016475C" w:rsidRPr="007628F9" w:rsidRDefault="0016475C" w:rsidP="0016475C">
            <w:pPr>
              <w:spacing w:after="0" w:line="240" w:lineRule="auto"/>
              <w:contextualSpacing/>
              <w:rPr>
                <w:rFonts w:eastAsia="Times New Roman" w:cstheme="minorHAnsi"/>
                <w:color w:val="000000"/>
                <w:sz w:val="18"/>
                <w:szCs w:val="18"/>
              </w:rPr>
            </w:pPr>
            <w:r>
              <w:rPr>
                <w:rFonts w:eastAsia="Times New Roman" w:cstheme="minorHAnsi"/>
                <w:color w:val="000000"/>
                <w:sz w:val="20"/>
                <w:szCs w:val="20"/>
              </w:rPr>
              <w:t>DAC costs 2020-21</w:t>
            </w:r>
          </w:p>
        </w:tc>
        <w:tc>
          <w:tcPr>
            <w:tcW w:w="1461" w:type="dxa"/>
            <w:shd w:val="clear" w:color="auto" w:fill="auto"/>
            <w:vAlign w:val="center"/>
          </w:tcPr>
          <w:p w14:paraId="1B2EAFA5" w14:textId="11B97B91" w:rsidR="0016475C" w:rsidRPr="00DC196E" w:rsidRDefault="0016475C" w:rsidP="0016475C">
            <w:pPr>
              <w:spacing w:after="0" w:line="240" w:lineRule="auto"/>
              <w:contextualSpacing/>
              <w:jc w:val="right"/>
              <w:rPr>
                <w:rFonts w:eastAsia="Times New Roman" w:cstheme="minorHAnsi"/>
                <w:color w:val="000000"/>
                <w:sz w:val="18"/>
                <w:szCs w:val="18"/>
              </w:rPr>
            </w:pPr>
            <w:r>
              <w:rPr>
                <w:rFonts w:ascii="Calibri" w:hAnsi="Calibri" w:cstheme="minorHAnsi"/>
                <w:color w:val="000000"/>
                <w:sz w:val="18"/>
                <w:szCs w:val="18"/>
              </w:rPr>
              <w:t>£6,000</w:t>
            </w:r>
          </w:p>
        </w:tc>
      </w:tr>
      <w:tr w:rsidR="0016475C" w:rsidRPr="007628F9" w14:paraId="4D7C197E" w14:textId="77777777" w:rsidTr="00581230">
        <w:trPr>
          <w:trHeight w:val="20"/>
        </w:trPr>
        <w:tc>
          <w:tcPr>
            <w:tcW w:w="3920" w:type="dxa"/>
            <w:shd w:val="clear" w:color="auto" w:fill="auto"/>
            <w:noWrap/>
            <w:vAlign w:val="bottom"/>
          </w:tcPr>
          <w:p w14:paraId="68307E59" w14:textId="1FCC630D" w:rsidR="0016475C" w:rsidRPr="007628F9" w:rsidRDefault="0016475C" w:rsidP="0016475C">
            <w:pPr>
              <w:spacing w:after="0" w:line="240" w:lineRule="auto"/>
              <w:contextualSpacing/>
              <w:rPr>
                <w:rFonts w:eastAsia="Times New Roman" w:cstheme="minorHAnsi"/>
                <w:color w:val="000000"/>
                <w:sz w:val="18"/>
                <w:szCs w:val="18"/>
              </w:rPr>
            </w:pPr>
            <w:r>
              <w:rPr>
                <w:rFonts w:eastAsia="Times New Roman" w:cstheme="minorHAnsi"/>
                <w:color w:val="000000"/>
                <w:sz w:val="20"/>
                <w:szCs w:val="20"/>
              </w:rPr>
              <w:t>Historic Environment DAC RCHAMW</w:t>
            </w:r>
          </w:p>
        </w:tc>
        <w:tc>
          <w:tcPr>
            <w:tcW w:w="5392" w:type="dxa"/>
            <w:shd w:val="clear" w:color="auto" w:fill="auto"/>
            <w:noWrap/>
          </w:tcPr>
          <w:p w14:paraId="276C0C0D" w14:textId="7F00B46C" w:rsidR="0016475C" w:rsidRPr="007628F9" w:rsidRDefault="0016475C" w:rsidP="0016475C">
            <w:pPr>
              <w:spacing w:after="0" w:line="240" w:lineRule="auto"/>
              <w:contextualSpacing/>
              <w:rPr>
                <w:rFonts w:eastAsia="Times New Roman" w:cstheme="minorHAnsi"/>
                <w:color w:val="000000"/>
                <w:sz w:val="18"/>
                <w:szCs w:val="18"/>
              </w:rPr>
            </w:pPr>
            <w:r>
              <w:rPr>
                <w:rFonts w:eastAsia="Times New Roman" w:cstheme="minorHAnsi"/>
                <w:color w:val="000000"/>
                <w:sz w:val="20"/>
                <w:szCs w:val="20"/>
              </w:rPr>
              <w:t>DAC costs 2020-21</w:t>
            </w:r>
          </w:p>
        </w:tc>
        <w:tc>
          <w:tcPr>
            <w:tcW w:w="1461" w:type="dxa"/>
            <w:shd w:val="clear" w:color="auto" w:fill="auto"/>
            <w:vAlign w:val="center"/>
          </w:tcPr>
          <w:p w14:paraId="771721E4" w14:textId="31D218EB" w:rsidR="0016475C" w:rsidRPr="00DC196E" w:rsidRDefault="0016475C" w:rsidP="0016475C">
            <w:pPr>
              <w:spacing w:after="0" w:line="240" w:lineRule="auto"/>
              <w:contextualSpacing/>
              <w:jc w:val="right"/>
              <w:rPr>
                <w:rFonts w:eastAsia="Times New Roman" w:cstheme="minorHAnsi"/>
                <w:color w:val="000000"/>
                <w:sz w:val="18"/>
                <w:szCs w:val="18"/>
              </w:rPr>
            </w:pPr>
            <w:r>
              <w:rPr>
                <w:rFonts w:ascii="Calibri" w:hAnsi="Calibri" w:cstheme="minorHAnsi"/>
                <w:color w:val="000000"/>
                <w:sz w:val="18"/>
                <w:szCs w:val="18"/>
              </w:rPr>
              <w:t>£6,000</w:t>
            </w:r>
          </w:p>
        </w:tc>
      </w:tr>
      <w:tr w:rsidR="0016475C" w:rsidRPr="007628F9" w14:paraId="2518E484" w14:textId="77777777" w:rsidTr="00581230">
        <w:trPr>
          <w:trHeight w:val="20"/>
        </w:trPr>
        <w:tc>
          <w:tcPr>
            <w:tcW w:w="3920" w:type="dxa"/>
            <w:tcBorders>
              <w:top w:val="double" w:sz="4" w:space="0" w:color="0F6FC6" w:themeColor="accent1"/>
              <w:bottom w:val="double" w:sz="4" w:space="0" w:color="0F6FC6" w:themeColor="accent1"/>
            </w:tcBorders>
            <w:shd w:val="clear" w:color="auto" w:fill="C9F9FC" w:themeFill="accent3" w:themeFillTint="33"/>
            <w:noWrap/>
            <w:vAlign w:val="bottom"/>
            <w:hideMark/>
          </w:tcPr>
          <w:p w14:paraId="2DA69227" w14:textId="77777777" w:rsidR="0016475C" w:rsidRPr="007628F9" w:rsidRDefault="0016475C" w:rsidP="0016475C">
            <w:pPr>
              <w:spacing w:after="0" w:line="240" w:lineRule="auto"/>
              <w:contextualSpacing/>
              <w:rPr>
                <w:rFonts w:eastAsia="Times New Roman" w:cstheme="minorHAnsi"/>
                <w:color w:val="000000"/>
                <w:sz w:val="18"/>
                <w:szCs w:val="18"/>
              </w:rPr>
            </w:pPr>
            <w:r w:rsidRPr="007628F9">
              <w:rPr>
                <w:rFonts w:eastAsia="Times New Roman" w:cstheme="minorHAnsi"/>
                <w:color w:val="000000"/>
                <w:sz w:val="18"/>
                <w:szCs w:val="18"/>
              </w:rPr>
              <w:t> </w:t>
            </w:r>
          </w:p>
        </w:tc>
        <w:tc>
          <w:tcPr>
            <w:tcW w:w="5392" w:type="dxa"/>
            <w:tcBorders>
              <w:top w:val="double" w:sz="4" w:space="0" w:color="0F6FC6" w:themeColor="accent1"/>
              <w:bottom w:val="double" w:sz="4" w:space="0" w:color="0F6FC6" w:themeColor="accent1"/>
            </w:tcBorders>
            <w:shd w:val="clear" w:color="auto" w:fill="C9F9FC" w:themeFill="accent3" w:themeFillTint="33"/>
            <w:hideMark/>
          </w:tcPr>
          <w:p w14:paraId="6A41A766" w14:textId="77777777" w:rsidR="0016475C" w:rsidRPr="007628F9" w:rsidRDefault="0016475C" w:rsidP="0016475C">
            <w:pPr>
              <w:spacing w:after="0" w:line="240" w:lineRule="auto"/>
              <w:contextualSpacing/>
              <w:rPr>
                <w:rFonts w:eastAsia="Times New Roman" w:cstheme="minorHAnsi"/>
                <w:b/>
                <w:color w:val="000000"/>
                <w:sz w:val="18"/>
                <w:szCs w:val="18"/>
              </w:rPr>
            </w:pPr>
            <w:r w:rsidRPr="007628F9">
              <w:rPr>
                <w:rFonts w:eastAsia="Times New Roman" w:cstheme="minorHAnsi"/>
                <w:b/>
                <w:color w:val="000000"/>
                <w:sz w:val="18"/>
                <w:szCs w:val="18"/>
              </w:rPr>
              <w:t> Total WS 1 expenditure</w:t>
            </w:r>
          </w:p>
        </w:tc>
        <w:tc>
          <w:tcPr>
            <w:tcW w:w="1461" w:type="dxa"/>
            <w:tcBorders>
              <w:top w:val="double" w:sz="4" w:space="0" w:color="0F6FC6" w:themeColor="accent1"/>
              <w:bottom w:val="double" w:sz="4" w:space="0" w:color="0F6FC6" w:themeColor="accent1"/>
            </w:tcBorders>
            <w:shd w:val="clear" w:color="auto" w:fill="C9F9FC" w:themeFill="accent3" w:themeFillTint="33"/>
            <w:vAlign w:val="center"/>
          </w:tcPr>
          <w:p w14:paraId="73BFEDF6" w14:textId="3FF48BD5" w:rsidR="0016475C" w:rsidRPr="00DC196E" w:rsidRDefault="0016475C" w:rsidP="0016475C">
            <w:pPr>
              <w:spacing w:after="0" w:line="240" w:lineRule="auto"/>
              <w:contextualSpacing/>
              <w:jc w:val="right"/>
              <w:rPr>
                <w:rFonts w:eastAsia="Times New Roman" w:cstheme="minorHAnsi"/>
                <w:b/>
                <w:color w:val="000000"/>
                <w:sz w:val="18"/>
                <w:szCs w:val="18"/>
              </w:rPr>
            </w:pPr>
            <w:r>
              <w:rPr>
                <w:rFonts w:ascii="Calibri" w:hAnsi="Calibri" w:cstheme="minorHAnsi"/>
                <w:b/>
                <w:bCs/>
                <w:color w:val="000000"/>
                <w:sz w:val="18"/>
                <w:szCs w:val="18"/>
              </w:rPr>
              <w:t>£86,200</w:t>
            </w:r>
          </w:p>
        </w:tc>
      </w:tr>
      <w:tr w:rsidR="0016475C" w:rsidRPr="007628F9" w14:paraId="09583A60" w14:textId="77777777" w:rsidTr="00581230">
        <w:trPr>
          <w:trHeight w:val="20"/>
        </w:trPr>
        <w:tc>
          <w:tcPr>
            <w:tcW w:w="3920" w:type="dxa"/>
            <w:tcBorders>
              <w:top w:val="double" w:sz="4" w:space="0" w:color="0F6FC6" w:themeColor="accent1"/>
            </w:tcBorders>
            <w:shd w:val="clear" w:color="auto" w:fill="auto"/>
            <w:noWrap/>
            <w:vAlign w:val="bottom"/>
          </w:tcPr>
          <w:p w14:paraId="47035007" w14:textId="23F18E84" w:rsidR="0016475C" w:rsidRPr="007628F9" w:rsidRDefault="00205CC7" w:rsidP="0016475C">
            <w:pPr>
              <w:spacing w:after="0" w:line="240" w:lineRule="auto"/>
              <w:contextualSpacing/>
              <w:rPr>
                <w:rFonts w:eastAsia="Times New Roman" w:cstheme="minorHAnsi"/>
                <w:color w:val="000000"/>
                <w:sz w:val="18"/>
                <w:szCs w:val="18"/>
              </w:rPr>
            </w:pPr>
            <w:r>
              <w:rPr>
                <w:rFonts w:cstheme="minorHAnsi"/>
                <w:color w:val="000000"/>
                <w:sz w:val="20"/>
                <w:szCs w:val="20"/>
              </w:rPr>
              <w:t xml:space="preserve">MBA / </w:t>
            </w:r>
            <w:r w:rsidR="0016475C">
              <w:rPr>
                <w:rFonts w:cstheme="minorHAnsi"/>
                <w:color w:val="000000"/>
                <w:sz w:val="20"/>
                <w:szCs w:val="20"/>
              </w:rPr>
              <w:t>DASSH</w:t>
            </w:r>
          </w:p>
        </w:tc>
        <w:tc>
          <w:tcPr>
            <w:tcW w:w="5392" w:type="dxa"/>
            <w:tcBorders>
              <w:top w:val="double" w:sz="4" w:space="0" w:color="0F6FC6" w:themeColor="accent1"/>
            </w:tcBorders>
            <w:shd w:val="clear" w:color="auto" w:fill="auto"/>
            <w:vAlign w:val="bottom"/>
          </w:tcPr>
          <w:p w14:paraId="6521FF99" w14:textId="18485883" w:rsidR="0016475C" w:rsidRPr="007628F9" w:rsidRDefault="0016475C" w:rsidP="0016475C">
            <w:pPr>
              <w:spacing w:after="0" w:line="240" w:lineRule="auto"/>
              <w:contextualSpacing/>
              <w:rPr>
                <w:rFonts w:eastAsia="Times New Roman" w:cstheme="minorHAnsi"/>
                <w:b/>
                <w:color w:val="000000"/>
                <w:sz w:val="18"/>
                <w:szCs w:val="18"/>
              </w:rPr>
            </w:pPr>
            <w:r>
              <w:rPr>
                <w:rFonts w:cstheme="minorHAnsi"/>
                <w:color w:val="000000"/>
                <w:sz w:val="20"/>
                <w:szCs w:val="20"/>
              </w:rPr>
              <w:t xml:space="preserve">Standards Working Group Support </w:t>
            </w:r>
          </w:p>
        </w:tc>
        <w:tc>
          <w:tcPr>
            <w:tcW w:w="1461" w:type="dxa"/>
            <w:tcBorders>
              <w:top w:val="double" w:sz="4" w:space="0" w:color="0F6FC6" w:themeColor="accent1"/>
            </w:tcBorders>
            <w:shd w:val="clear" w:color="auto" w:fill="auto"/>
            <w:vAlign w:val="center"/>
          </w:tcPr>
          <w:p w14:paraId="64576F5D" w14:textId="15E94D83" w:rsidR="0016475C" w:rsidRPr="00DC196E" w:rsidRDefault="0016475C" w:rsidP="0016475C">
            <w:pPr>
              <w:spacing w:after="0" w:line="240" w:lineRule="auto"/>
              <w:contextualSpacing/>
              <w:jc w:val="right"/>
              <w:rPr>
                <w:rFonts w:cstheme="minorHAnsi"/>
                <w:b/>
                <w:color w:val="000000"/>
                <w:sz w:val="18"/>
                <w:szCs w:val="18"/>
              </w:rPr>
            </w:pPr>
            <w:r>
              <w:rPr>
                <w:rFonts w:ascii="Calibri" w:hAnsi="Calibri" w:cstheme="minorHAnsi"/>
                <w:color w:val="000000"/>
                <w:sz w:val="18"/>
                <w:szCs w:val="18"/>
              </w:rPr>
              <w:t>£6,933</w:t>
            </w:r>
          </w:p>
        </w:tc>
      </w:tr>
      <w:tr w:rsidR="0016475C" w:rsidRPr="007628F9" w14:paraId="60360AD0" w14:textId="77777777" w:rsidTr="00581230">
        <w:trPr>
          <w:trHeight w:val="20"/>
        </w:trPr>
        <w:tc>
          <w:tcPr>
            <w:tcW w:w="3920" w:type="dxa"/>
            <w:shd w:val="clear" w:color="auto" w:fill="auto"/>
            <w:noWrap/>
            <w:vAlign w:val="bottom"/>
          </w:tcPr>
          <w:p w14:paraId="18C42475" w14:textId="64A451AC" w:rsidR="0016475C" w:rsidRPr="007628F9" w:rsidRDefault="0016475C" w:rsidP="0016475C">
            <w:pPr>
              <w:spacing w:after="0" w:line="240" w:lineRule="auto"/>
              <w:contextualSpacing/>
              <w:rPr>
                <w:rFonts w:eastAsia="Times New Roman" w:cstheme="minorHAnsi"/>
                <w:color w:val="000000"/>
                <w:sz w:val="18"/>
                <w:szCs w:val="18"/>
              </w:rPr>
            </w:pPr>
            <w:r>
              <w:rPr>
                <w:rFonts w:cstheme="minorHAnsi"/>
                <w:color w:val="000000"/>
                <w:sz w:val="20"/>
                <w:szCs w:val="20"/>
              </w:rPr>
              <w:t>HR Wallingford</w:t>
            </w:r>
          </w:p>
        </w:tc>
        <w:tc>
          <w:tcPr>
            <w:tcW w:w="5392" w:type="dxa"/>
            <w:shd w:val="clear" w:color="auto" w:fill="auto"/>
            <w:vAlign w:val="bottom"/>
          </w:tcPr>
          <w:p w14:paraId="37B75D18" w14:textId="0EDE27DA" w:rsidR="0016475C" w:rsidRPr="007628F9" w:rsidRDefault="0016475C" w:rsidP="0016475C">
            <w:pPr>
              <w:spacing w:after="0" w:line="240" w:lineRule="auto"/>
              <w:contextualSpacing/>
              <w:rPr>
                <w:rFonts w:eastAsia="Times New Roman" w:cstheme="minorHAnsi"/>
                <w:b/>
                <w:color w:val="000000"/>
                <w:sz w:val="18"/>
                <w:szCs w:val="18"/>
              </w:rPr>
            </w:pPr>
            <w:r>
              <w:rPr>
                <w:rFonts w:cstheme="minorHAnsi"/>
                <w:color w:val="000000"/>
                <w:sz w:val="20"/>
                <w:szCs w:val="20"/>
              </w:rPr>
              <w:t xml:space="preserve">Metadata Maestro and MEDIN Schematron update </w:t>
            </w:r>
          </w:p>
        </w:tc>
        <w:tc>
          <w:tcPr>
            <w:tcW w:w="1461" w:type="dxa"/>
            <w:shd w:val="clear" w:color="auto" w:fill="auto"/>
            <w:vAlign w:val="center"/>
          </w:tcPr>
          <w:p w14:paraId="107B2B3A" w14:textId="26CEDB39" w:rsidR="0016475C" w:rsidRPr="00DC196E" w:rsidRDefault="0016475C" w:rsidP="0016475C">
            <w:pPr>
              <w:spacing w:after="0" w:line="240" w:lineRule="auto"/>
              <w:contextualSpacing/>
              <w:jc w:val="right"/>
              <w:rPr>
                <w:rFonts w:cstheme="minorHAnsi"/>
                <w:b/>
                <w:color w:val="000000"/>
                <w:sz w:val="18"/>
                <w:szCs w:val="18"/>
              </w:rPr>
            </w:pPr>
            <w:r>
              <w:rPr>
                <w:rFonts w:ascii="Calibri" w:hAnsi="Calibri" w:cstheme="minorHAnsi"/>
                <w:color w:val="000000"/>
                <w:sz w:val="18"/>
                <w:szCs w:val="18"/>
              </w:rPr>
              <w:t>£13,200</w:t>
            </w:r>
          </w:p>
        </w:tc>
      </w:tr>
      <w:tr w:rsidR="0016475C" w:rsidRPr="007628F9" w14:paraId="424C22DD" w14:textId="77777777" w:rsidTr="00581230">
        <w:trPr>
          <w:trHeight w:val="20"/>
        </w:trPr>
        <w:tc>
          <w:tcPr>
            <w:tcW w:w="3920" w:type="dxa"/>
            <w:shd w:val="clear" w:color="auto" w:fill="auto"/>
            <w:noWrap/>
            <w:vAlign w:val="bottom"/>
          </w:tcPr>
          <w:p w14:paraId="1449B6FD" w14:textId="7F4EB755" w:rsidR="0016475C" w:rsidRPr="007628F9" w:rsidRDefault="0016475C" w:rsidP="0016475C">
            <w:pPr>
              <w:spacing w:after="0" w:line="240" w:lineRule="auto"/>
              <w:contextualSpacing/>
              <w:rPr>
                <w:rFonts w:eastAsia="Times New Roman" w:cstheme="minorHAnsi"/>
                <w:color w:val="000000"/>
                <w:sz w:val="18"/>
                <w:szCs w:val="18"/>
              </w:rPr>
            </w:pPr>
            <w:r>
              <w:rPr>
                <w:rFonts w:cstheme="minorHAnsi"/>
                <w:color w:val="000000"/>
                <w:sz w:val="20"/>
                <w:szCs w:val="20"/>
              </w:rPr>
              <w:t>DASSH</w:t>
            </w:r>
          </w:p>
        </w:tc>
        <w:tc>
          <w:tcPr>
            <w:tcW w:w="5392" w:type="dxa"/>
            <w:shd w:val="clear" w:color="auto" w:fill="auto"/>
            <w:vAlign w:val="bottom"/>
          </w:tcPr>
          <w:p w14:paraId="6AFDD130" w14:textId="410183A3" w:rsidR="0016475C" w:rsidRPr="007628F9" w:rsidRDefault="0016475C" w:rsidP="0016475C">
            <w:pPr>
              <w:spacing w:after="0" w:line="240" w:lineRule="auto"/>
              <w:contextualSpacing/>
              <w:rPr>
                <w:rFonts w:eastAsia="Times New Roman" w:cstheme="minorHAnsi"/>
                <w:b/>
                <w:color w:val="000000"/>
                <w:sz w:val="18"/>
                <w:szCs w:val="18"/>
              </w:rPr>
            </w:pPr>
            <w:r>
              <w:rPr>
                <w:rFonts w:cstheme="minorHAnsi"/>
                <w:color w:val="000000"/>
                <w:sz w:val="20"/>
                <w:szCs w:val="20"/>
              </w:rPr>
              <w:t>Upgrade to online tool</w:t>
            </w:r>
            <w:r>
              <w:rPr>
                <w:rStyle w:val="FootnoteReference"/>
                <w:rFonts w:cstheme="minorHAnsi"/>
                <w:color w:val="000000"/>
                <w:sz w:val="20"/>
                <w:szCs w:val="20"/>
              </w:rPr>
              <w:footnoteReference w:id="4"/>
            </w:r>
          </w:p>
        </w:tc>
        <w:tc>
          <w:tcPr>
            <w:tcW w:w="1461" w:type="dxa"/>
            <w:shd w:val="clear" w:color="auto" w:fill="auto"/>
            <w:vAlign w:val="center"/>
          </w:tcPr>
          <w:p w14:paraId="264F1101" w14:textId="44D414DA" w:rsidR="0016475C" w:rsidRPr="00DC196E" w:rsidRDefault="0016475C" w:rsidP="0016475C">
            <w:pPr>
              <w:spacing w:after="0" w:line="240" w:lineRule="auto"/>
              <w:contextualSpacing/>
              <w:jc w:val="right"/>
              <w:rPr>
                <w:rFonts w:cstheme="minorHAnsi"/>
                <w:b/>
                <w:color w:val="000000"/>
                <w:sz w:val="18"/>
                <w:szCs w:val="18"/>
              </w:rPr>
            </w:pPr>
          </w:p>
        </w:tc>
      </w:tr>
      <w:tr w:rsidR="0016475C" w:rsidRPr="007628F9" w14:paraId="05051831" w14:textId="77777777" w:rsidTr="00581230">
        <w:trPr>
          <w:trHeight w:val="20"/>
        </w:trPr>
        <w:tc>
          <w:tcPr>
            <w:tcW w:w="3920" w:type="dxa"/>
            <w:tcBorders>
              <w:top w:val="double" w:sz="4" w:space="0" w:color="0F6FC6" w:themeColor="accent1"/>
              <w:bottom w:val="double" w:sz="4" w:space="0" w:color="0F6FC6" w:themeColor="accent1"/>
            </w:tcBorders>
            <w:shd w:val="clear" w:color="auto" w:fill="C9F9FC" w:themeFill="accent3" w:themeFillTint="33"/>
            <w:noWrap/>
            <w:vAlign w:val="bottom"/>
          </w:tcPr>
          <w:p w14:paraId="29FAB0EE" w14:textId="77777777" w:rsidR="0016475C" w:rsidRPr="007628F9" w:rsidRDefault="0016475C" w:rsidP="0016475C">
            <w:pPr>
              <w:spacing w:after="0" w:line="240" w:lineRule="auto"/>
              <w:contextualSpacing/>
              <w:rPr>
                <w:rFonts w:eastAsia="Times New Roman" w:cstheme="minorHAnsi"/>
                <w:color w:val="000000"/>
                <w:sz w:val="18"/>
                <w:szCs w:val="18"/>
              </w:rPr>
            </w:pPr>
            <w:r w:rsidRPr="007628F9">
              <w:rPr>
                <w:rFonts w:eastAsia="Times New Roman" w:cstheme="minorHAnsi"/>
                <w:color w:val="000000"/>
                <w:sz w:val="18"/>
                <w:szCs w:val="18"/>
              </w:rPr>
              <w:t> </w:t>
            </w:r>
          </w:p>
        </w:tc>
        <w:tc>
          <w:tcPr>
            <w:tcW w:w="5392" w:type="dxa"/>
            <w:tcBorders>
              <w:top w:val="double" w:sz="4" w:space="0" w:color="0F6FC6" w:themeColor="accent1"/>
              <w:bottom w:val="double" w:sz="4" w:space="0" w:color="0F6FC6" w:themeColor="accent1"/>
            </w:tcBorders>
            <w:shd w:val="clear" w:color="auto" w:fill="C9F9FC" w:themeFill="accent3" w:themeFillTint="33"/>
          </w:tcPr>
          <w:p w14:paraId="11625223" w14:textId="77777777" w:rsidR="0016475C" w:rsidRPr="007628F9" w:rsidRDefault="0016475C" w:rsidP="0016475C">
            <w:pPr>
              <w:spacing w:after="0" w:line="240" w:lineRule="auto"/>
              <w:contextualSpacing/>
              <w:rPr>
                <w:rFonts w:eastAsia="Times New Roman" w:cstheme="minorHAnsi"/>
                <w:b/>
                <w:color w:val="000000"/>
                <w:sz w:val="18"/>
                <w:szCs w:val="18"/>
              </w:rPr>
            </w:pPr>
            <w:r w:rsidRPr="007628F9">
              <w:rPr>
                <w:rFonts w:eastAsia="Times New Roman" w:cstheme="minorHAnsi"/>
                <w:b/>
                <w:color w:val="000000"/>
                <w:sz w:val="18"/>
                <w:szCs w:val="18"/>
              </w:rPr>
              <w:t> Total WS 2 expenditure</w:t>
            </w:r>
          </w:p>
        </w:tc>
        <w:tc>
          <w:tcPr>
            <w:tcW w:w="1461" w:type="dxa"/>
            <w:tcBorders>
              <w:top w:val="double" w:sz="4" w:space="0" w:color="0F6FC6" w:themeColor="accent1"/>
              <w:bottom w:val="double" w:sz="4" w:space="0" w:color="0F6FC6" w:themeColor="accent1"/>
            </w:tcBorders>
            <w:shd w:val="clear" w:color="auto" w:fill="C9F9FC" w:themeFill="accent3" w:themeFillTint="33"/>
            <w:vAlign w:val="center"/>
          </w:tcPr>
          <w:p w14:paraId="03F5BA9F" w14:textId="2EBC2E60" w:rsidR="0016475C" w:rsidRPr="00DC196E" w:rsidRDefault="0016475C" w:rsidP="0016475C">
            <w:pPr>
              <w:spacing w:after="0" w:line="240" w:lineRule="auto"/>
              <w:contextualSpacing/>
              <w:jc w:val="right"/>
              <w:rPr>
                <w:rFonts w:cstheme="minorHAnsi"/>
                <w:b/>
                <w:color w:val="000000"/>
                <w:sz w:val="18"/>
                <w:szCs w:val="18"/>
              </w:rPr>
            </w:pPr>
            <w:r>
              <w:rPr>
                <w:rFonts w:ascii="Calibri" w:hAnsi="Calibri" w:cstheme="minorHAnsi"/>
                <w:b/>
                <w:bCs/>
                <w:color w:val="000000"/>
                <w:sz w:val="18"/>
                <w:szCs w:val="18"/>
              </w:rPr>
              <w:t>£20,133</w:t>
            </w:r>
          </w:p>
        </w:tc>
      </w:tr>
      <w:tr w:rsidR="0016475C" w:rsidRPr="007628F9" w14:paraId="67F9AD55" w14:textId="77777777" w:rsidTr="00581230">
        <w:trPr>
          <w:trHeight w:val="20"/>
        </w:trPr>
        <w:tc>
          <w:tcPr>
            <w:tcW w:w="3920" w:type="dxa"/>
            <w:tcBorders>
              <w:top w:val="double" w:sz="4" w:space="0" w:color="0F6FC6" w:themeColor="accent1"/>
            </w:tcBorders>
            <w:shd w:val="clear" w:color="auto" w:fill="auto"/>
            <w:noWrap/>
            <w:vAlign w:val="bottom"/>
          </w:tcPr>
          <w:p w14:paraId="2F7DCCA5" w14:textId="5E1FCA0B" w:rsidR="0016475C" w:rsidRPr="007628F9" w:rsidRDefault="0016475C" w:rsidP="0016475C">
            <w:pPr>
              <w:spacing w:after="0" w:line="240" w:lineRule="auto"/>
              <w:contextualSpacing/>
              <w:rPr>
                <w:rFonts w:eastAsia="Times New Roman" w:cstheme="minorHAnsi"/>
                <w:color w:val="000000"/>
                <w:sz w:val="18"/>
                <w:szCs w:val="18"/>
              </w:rPr>
            </w:pPr>
            <w:r>
              <w:rPr>
                <w:rFonts w:cstheme="minorHAnsi"/>
                <w:color w:val="000000"/>
                <w:sz w:val="20"/>
                <w:szCs w:val="20"/>
              </w:rPr>
              <w:t xml:space="preserve">MARIS </w:t>
            </w:r>
          </w:p>
        </w:tc>
        <w:tc>
          <w:tcPr>
            <w:tcW w:w="5392" w:type="dxa"/>
            <w:tcBorders>
              <w:top w:val="double" w:sz="4" w:space="0" w:color="0F6FC6" w:themeColor="accent1"/>
            </w:tcBorders>
            <w:shd w:val="clear" w:color="auto" w:fill="auto"/>
            <w:vAlign w:val="bottom"/>
          </w:tcPr>
          <w:p w14:paraId="08209C4E" w14:textId="0496DF84" w:rsidR="0016475C" w:rsidRPr="007628F9" w:rsidRDefault="0016475C" w:rsidP="0016475C">
            <w:pPr>
              <w:spacing w:after="0" w:line="240" w:lineRule="auto"/>
              <w:contextualSpacing/>
              <w:rPr>
                <w:rFonts w:eastAsia="Times New Roman" w:cstheme="minorHAnsi"/>
                <w:b/>
                <w:color w:val="000000"/>
                <w:sz w:val="18"/>
                <w:szCs w:val="18"/>
              </w:rPr>
            </w:pPr>
            <w:r>
              <w:rPr>
                <w:rFonts w:cstheme="minorHAnsi"/>
                <w:color w:val="000000"/>
                <w:sz w:val="20"/>
                <w:szCs w:val="20"/>
              </w:rPr>
              <w:t>UKDMOS Portal Maintenance 01/05/20-01/05/21</w:t>
            </w:r>
          </w:p>
        </w:tc>
        <w:tc>
          <w:tcPr>
            <w:tcW w:w="1461" w:type="dxa"/>
            <w:tcBorders>
              <w:top w:val="double" w:sz="4" w:space="0" w:color="0F6FC6" w:themeColor="accent1"/>
            </w:tcBorders>
            <w:shd w:val="clear" w:color="auto" w:fill="auto"/>
            <w:vAlign w:val="center"/>
          </w:tcPr>
          <w:p w14:paraId="6618FEF3" w14:textId="6FE4D113" w:rsidR="0016475C" w:rsidRPr="00DC196E" w:rsidRDefault="0016475C" w:rsidP="0016475C">
            <w:pPr>
              <w:spacing w:after="0" w:line="240" w:lineRule="auto"/>
              <w:contextualSpacing/>
              <w:jc w:val="right"/>
              <w:rPr>
                <w:rFonts w:cstheme="minorHAnsi"/>
                <w:b/>
                <w:color w:val="000000"/>
                <w:sz w:val="18"/>
                <w:szCs w:val="18"/>
              </w:rPr>
            </w:pPr>
            <w:r>
              <w:rPr>
                <w:rFonts w:ascii="Calibri" w:hAnsi="Calibri"/>
                <w:color w:val="000000"/>
                <w:sz w:val="18"/>
                <w:szCs w:val="18"/>
              </w:rPr>
              <w:t>£1,500</w:t>
            </w:r>
          </w:p>
        </w:tc>
      </w:tr>
      <w:tr w:rsidR="0016475C" w:rsidRPr="007628F9" w14:paraId="37AE6A7D" w14:textId="77777777" w:rsidTr="00581230">
        <w:trPr>
          <w:trHeight w:val="20"/>
        </w:trPr>
        <w:tc>
          <w:tcPr>
            <w:tcW w:w="3920" w:type="dxa"/>
            <w:shd w:val="clear" w:color="auto" w:fill="auto"/>
            <w:noWrap/>
            <w:vAlign w:val="bottom"/>
          </w:tcPr>
          <w:p w14:paraId="707B75C9" w14:textId="272A094A" w:rsidR="0016475C" w:rsidRPr="007628F9" w:rsidRDefault="0016475C" w:rsidP="0016475C">
            <w:pPr>
              <w:spacing w:after="0" w:line="240" w:lineRule="auto"/>
              <w:contextualSpacing/>
              <w:rPr>
                <w:rFonts w:eastAsia="Times New Roman" w:cstheme="minorHAnsi"/>
                <w:color w:val="000000"/>
                <w:sz w:val="18"/>
                <w:szCs w:val="18"/>
              </w:rPr>
            </w:pPr>
            <w:r>
              <w:rPr>
                <w:rFonts w:cstheme="minorHAnsi"/>
                <w:color w:val="000000"/>
                <w:sz w:val="20"/>
                <w:szCs w:val="20"/>
              </w:rPr>
              <w:t xml:space="preserve">BODC </w:t>
            </w:r>
          </w:p>
        </w:tc>
        <w:tc>
          <w:tcPr>
            <w:tcW w:w="5392" w:type="dxa"/>
            <w:shd w:val="clear" w:color="auto" w:fill="auto"/>
            <w:vAlign w:val="bottom"/>
          </w:tcPr>
          <w:p w14:paraId="4B628D0A" w14:textId="12B31E7F" w:rsidR="0016475C" w:rsidRPr="007628F9" w:rsidRDefault="0016475C" w:rsidP="0016475C">
            <w:pPr>
              <w:spacing w:after="0" w:line="240" w:lineRule="auto"/>
              <w:contextualSpacing/>
              <w:rPr>
                <w:rFonts w:eastAsia="Times New Roman" w:cstheme="minorHAnsi"/>
                <w:b/>
                <w:color w:val="000000"/>
                <w:sz w:val="18"/>
                <w:szCs w:val="18"/>
              </w:rPr>
            </w:pPr>
            <w:r>
              <w:rPr>
                <w:rFonts w:cstheme="minorHAnsi"/>
                <w:color w:val="000000"/>
                <w:sz w:val="20"/>
                <w:szCs w:val="20"/>
              </w:rPr>
              <w:t>MEDIN product hosting and support</w:t>
            </w:r>
          </w:p>
        </w:tc>
        <w:tc>
          <w:tcPr>
            <w:tcW w:w="1461" w:type="dxa"/>
            <w:shd w:val="clear" w:color="auto" w:fill="auto"/>
            <w:vAlign w:val="center"/>
          </w:tcPr>
          <w:p w14:paraId="1EC99D90" w14:textId="7E8B532E" w:rsidR="0016475C" w:rsidRPr="00DC196E" w:rsidRDefault="0016475C" w:rsidP="0016475C">
            <w:pPr>
              <w:spacing w:after="0" w:line="240" w:lineRule="auto"/>
              <w:contextualSpacing/>
              <w:jc w:val="right"/>
              <w:rPr>
                <w:rFonts w:cstheme="minorHAnsi"/>
                <w:b/>
                <w:color w:val="000000"/>
                <w:sz w:val="18"/>
                <w:szCs w:val="18"/>
              </w:rPr>
            </w:pPr>
            <w:r>
              <w:rPr>
                <w:rFonts w:ascii="Calibri" w:hAnsi="Calibri"/>
                <w:color w:val="000000"/>
                <w:sz w:val="18"/>
                <w:szCs w:val="18"/>
              </w:rPr>
              <w:t>£5,000</w:t>
            </w:r>
          </w:p>
        </w:tc>
      </w:tr>
      <w:tr w:rsidR="0016475C" w:rsidRPr="007628F9" w14:paraId="07E6192E" w14:textId="77777777" w:rsidTr="00581230">
        <w:trPr>
          <w:trHeight w:val="20"/>
        </w:trPr>
        <w:tc>
          <w:tcPr>
            <w:tcW w:w="3920" w:type="dxa"/>
            <w:shd w:val="clear" w:color="auto" w:fill="auto"/>
            <w:noWrap/>
            <w:vAlign w:val="bottom"/>
          </w:tcPr>
          <w:p w14:paraId="39381AB2" w14:textId="7BF61605" w:rsidR="0016475C" w:rsidRPr="007628F9" w:rsidRDefault="0016475C" w:rsidP="0016475C">
            <w:pPr>
              <w:spacing w:after="0" w:line="240" w:lineRule="auto"/>
              <w:contextualSpacing/>
              <w:rPr>
                <w:rFonts w:eastAsia="Times New Roman" w:cstheme="minorHAnsi"/>
                <w:color w:val="000000"/>
                <w:sz w:val="18"/>
                <w:szCs w:val="18"/>
              </w:rPr>
            </w:pPr>
            <w:r>
              <w:rPr>
                <w:rFonts w:cstheme="minorHAnsi"/>
                <w:color w:val="000000"/>
                <w:sz w:val="20"/>
                <w:szCs w:val="20"/>
              </w:rPr>
              <w:t>NOC</w:t>
            </w:r>
          </w:p>
        </w:tc>
        <w:tc>
          <w:tcPr>
            <w:tcW w:w="5392" w:type="dxa"/>
            <w:shd w:val="clear" w:color="auto" w:fill="auto"/>
            <w:vAlign w:val="bottom"/>
          </w:tcPr>
          <w:p w14:paraId="3864FDF9" w14:textId="2AB7B16F" w:rsidR="0016475C" w:rsidRPr="007628F9" w:rsidRDefault="0016475C" w:rsidP="0016475C">
            <w:pPr>
              <w:spacing w:after="0" w:line="240" w:lineRule="auto"/>
              <w:contextualSpacing/>
              <w:rPr>
                <w:rFonts w:eastAsia="Times New Roman" w:cstheme="minorHAnsi"/>
                <w:b/>
                <w:color w:val="000000"/>
                <w:sz w:val="18"/>
                <w:szCs w:val="18"/>
              </w:rPr>
            </w:pPr>
            <w:r>
              <w:rPr>
                <w:rFonts w:cstheme="minorHAnsi"/>
                <w:color w:val="000000"/>
                <w:sz w:val="20"/>
                <w:szCs w:val="20"/>
              </w:rPr>
              <w:t>Website hosting and support</w:t>
            </w:r>
          </w:p>
        </w:tc>
        <w:tc>
          <w:tcPr>
            <w:tcW w:w="1461" w:type="dxa"/>
            <w:shd w:val="clear" w:color="auto" w:fill="auto"/>
            <w:vAlign w:val="center"/>
          </w:tcPr>
          <w:p w14:paraId="15701519" w14:textId="09BC0408" w:rsidR="0016475C" w:rsidRPr="00DC196E" w:rsidRDefault="0016475C" w:rsidP="0016475C">
            <w:pPr>
              <w:spacing w:after="0" w:line="240" w:lineRule="auto"/>
              <w:contextualSpacing/>
              <w:jc w:val="right"/>
              <w:rPr>
                <w:rFonts w:cstheme="minorHAnsi"/>
                <w:b/>
                <w:color w:val="000000"/>
                <w:sz w:val="18"/>
                <w:szCs w:val="18"/>
              </w:rPr>
            </w:pPr>
            <w:r>
              <w:rPr>
                <w:rFonts w:ascii="Calibri" w:hAnsi="Calibri"/>
                <w:color w:val="000000"/>
                <w:sz w:val="18"/>
                <w:szCs w:val="18"/>
              </w:rPr>
              <w:t>£5,000</w:t>
            </w:r>
          </w:p>
        </w:tc>
      </w:tr>
      <w:tr w:rsidR="0016475C" w:rsidRPr="007628F9" w14:paraId="3787E81F" w14:textId="77777777" w:rsidTr="00581230">
        <w:trPr>
          <w:trHeight w:val="20"/>
        </w:trPr>
        <w:tc>
          <w:tcPr>
            <w:tcW w:w="3920" w:type="dxa"/>
            <w:shd w:val="clear" w:color="auto" w:fill="auto"/>
            <w:noWrap/>
            <w:vAlign w:val="bottom"/>
          </w:tcPr>
          <w:p w14:paraId="2160BCEC" w14:textId="07EAD20B" w:rsidR="0016475C" w:rsidRPr="007628F9" w:rsidRDefault="0016475C" w:rsidP="0016475C">
            <w:pPr>
              <w:spacing w:after="0" w:line="240" w:lineRule="auto"/>
              <w:contextualSpacing/>
              <w:rPr>
                <w:rFonts w:eastAsia="Times New Roman" w:cstheme="minorHAnsi"/>
                <w:color w:val="000000"/>
                <w:sz w:val="18"/>
                <w:szCs w:val="18"/>
              </w:rPr>
            </w:pPr>
            <w:r>
              <w:rPr>
                <w:rFonts w:cstheme="minorHAnsi"/>
                <w:color w:val="000000"/>
                <w:sz w:val="20"/>
                <w:szCs w:val="20"/>
              </w:rPr>
              <w:t xml:space="preserve">MARIS </w:t>
            </w:r>
          </w:p>
        </w:tc>
        <w:tc>
          <w:tcPr>
            <w:tcW w:w="5392" w:type="dxa"/>
            <w:shd w:val="clear" w:color="auto" w:fill="auto"/>
            <w:vAlign w:val="bottom"/>
          </w:tcPr>
          <w:p w14:paraId="173C80F4" w14:textId="5688A186" w:rsidR="0016475C" w:rsidRPr="007628F9" w:rsidRDefault="0016475C" w:rsidP="0016475C">
            <w:pPr>
              <w:spacing w:after="0" w:line="240" w:lineRule="auto"/>
              <w:contextualSpacing/>
              <w:rPr>
                <w:rFonts w:eastAsia="Times New Roman" w:cstheme="minorHAnsi"/>
                <w:b/>
                <w:color w:val="000000"/>
                <w:sz w:val="18"/>
                <w:szCs w:val="18"/>
              </w:rPr>
            </w:pPr>
            <w:r>
              <w:rPr>
                <w:rFonts w:cstheme="minorHAnsi"/>
                <w:color w:val="000000"/>
                <w:sz w:val="20"/>
                <w:szCs w:val="20"/>
              </w:rPr>
              <w:t>MEDIN portal and catalogue hosting and maintenance Jan 2020-Dec 2020</w:t>
            </w:r>
          </w:p>
        </w:tc>
        <w:tc>
          <w:tcPr>
            <w:tcW w:w="1461" w:type="dxa"/>
            <w:shd w:val="clear" w:color="auto" w:fill="auto"/>
            <w:vAlign w:val="center"/>
          </w:tcPr>
          <w:p w14:paraId="072BD49B" w14:textId="6FE4C781" w:rsidR="0016475C" w:rsidRPr="00DC196E" w:rsidRDefault="0016475C" w:rsidP="0016475C">
            <w:pPr>
              <w:spacing w:after="0" w:line="240" w:lineRule="auto"/>
              <w:contextualSpacing/>
              <w:jc w:val="right"/>
              <w:rPr>
                <w:rFonts w:cstheme="minorHAnsi"/>
                <w:b/>
                <w:color w:val="000000"/>
                <w:sz w:val="18"/>
                <w:szCs w:val="18"/>
              </w:rPr>
            </w:pPr>
            <w:r>
              <w:rPr>
                <w:rFonts w:ascii="Calibri" w:hAnsi="Calibri"/>
                <w:color w:val="000000"/>
                <w:sz w:val="18"/>
                <w:szCs w:val="18"/>
              </w:rPr>
              <w:t>£8,100</w:t>
            </w:r>
          </w:p>
        </w:tc>
      </w:tr>
      <w:tr w:rsidR="0016475C" w:rsidRPr="007628F9" w14:paraId="472C0C32" w14:textId="77777777" w:rsidTr="00581230">
        <w:trPr>
          <w:trHeight w:val="20"/>
        </w:trPr>
        <w:tc>
          <w:tcPr>
            <w:tcW w:w="3920" w:type="dxa"/>
            <w:shd w:val="clear" w:color="auto" w:fill="auto"/>
            <w:noWrap/>
            <w:vAlign w:val="bottom"/>
          </w:tcPr>
          <w:p w14:paraId="73E0AE5F" w14:textId="48ED7AB8" w:rsidR="0016475C" w:rsidRPr="007628F9" w:rsidRDefault="0016475C" w:rsidP="0016475C">
            <w:pPr>
              <w:spacing w:after="0" w:line="240" w:lineRule="auto"/>
              <w:contextualSpacing/>
              <w:rPr>
                <w:rFonts w:eastAsia="Times New Roman" w:cstheme="minorHAnsi"/>
                <w:color w:val="000000"/>
                <w:sz w:val="18"/>
                <w:szCs w:val="18"/>
              </w:rPr>
            </w:pPr>
            <w:r>
              <w:rPr>
                <w:rFonts w:cstheme="minorHAnsi"/>
                <w:color w:val="000000"/>
                <w:sz w:val="20"/>
                <w:szCs w:val="20"/>
              </w:rPr>
              <w:t xml:space="preserve">MBA / DASSH </w:t>
            </w:r>
          </w:p>
        </w:tc>
        <w:tc>
          <w:tcPr>
            <w:tcW w:w="5392" w:type="dxa"/>
            <w:shd w:val="clear" w:color="auto" w:fill="auto"/>
            <w:vAlign w:val="bottom"/>
          </w:tcPr>
          <w:p w14:paraId="0D8E6CCC" w14:textId="5989CFB1" w:rsidR="0016475C" w:rsidRPr="007628F9" w:rsidRDefault="0016475C" w:rsidP="0016475C">
            <w:pPr>
              <w:spacing w:after="0" w:line="240" w:lineRule="auto"/>
              <w:contextualSpacing/>
              <w:rPr>
                <w:rFonts w:eastAsia="Times New Roman" w:cstheme="minorHAnsi"/>
                <w:b/>
                <w:color w:val="000000"/>
                <w:sz w:val="18"/>
                <w:szCs w:val="18"/>
              </w:rPr>
            </w:pPr>
            <w:r>
              <w:rPr>
                <w:rFonts w:cstheme="minorHAnsi"/>
                <w:color w:val="000000"/>
                <w:sz w:val="20"/>
                <w:szCs w:val="20"/>
              </w:rPr>
              <w:t>MEDIN Helpdesk April 2020-March 2021</w:t>
            </w:r>
          </w:p>
        </w:tc>
        <w:tc>
          <w:tcPr>
            <w:tcW w:w="1461" w:type="dxa"/>
            <w:shd w:val="clear" w:color="auto" w:fill="auto"/>
            <w:vAlign w:val="center"/>
          </w:tcPr>
          <w:p w14:paraId="2BF0925F" w14:textId="787111F6" w:rsidR="0016475C" w:rsidRPr="00DC196E" w:rsidRDefault="0016475C" w:rsidP="0016475C">
            <w:pPr>
              <w:spacing w:after="0" w:line="240" w:lineRule="auto"/>
              <w:contextualSpacing/>
              <w:jc w:val="right"/>
              <w:rPr>
                <w:rFonts w:cstheme="minorHAnsi"/>
                <w:b/>
                <w:color w:val="000000"/>
                <w:sz w:val="18"/>
                <w:szCs w:val="18"/>
              </w:rPr>
            </w:pPr>
            <w:r>
              <w:rPr>
                <w:rFonts w:ascii="Calibri" w:hAnsi="Calibri"/>
                <w:color w:val="000000"/>
                <w:sz w:val="18"/>
                <w:szCs w:val="18"/>
              </w:rPr>
              <w:t>£4,637</w:t>
            </w:r>
          </w:p>
        </w:tc>
      </w:tr>
      <w:tr w:rsidR="0016475C" w:rsidRPr="007628F9" w14:paraId="2D9C9FEA" w14:textId="77777777" w:rsidTr="00581230">
        <w:trPr>
          <w:trHeight w:val="20"/>
        </w:trPr>
        <w:tc>
          <w:tcPr>
            <w:tcW w:w="3920" w:type="dxa"/>
            <w:tcBorders>
              <w:bottom w:val="double" w:sz="4" w:space="0" w:color="0F6FC6" w:themeColor="accent1"/>
            </w:tcBorders>
            <w:shd w:val="clear" w:color="auto" w:fill="auto"/>
            <w:noWrap/>
            <w:vAlign w:val="bottom"/>
          </w:tcPr>
          <w:p w14:paraId="7FDCB127" w14:textId="7AD0E514" w:rsidR="0016475C" w:rsidRPr="007628F9" w:rsidRDefault="0016475C" w:rsidP="0016475C">
            <w:pPr>
              <w:spacing w:after="0" w:line="240" w:lineRule="auto"/>
              <w:contextualSpacing/>
              <w:rPr>
                <w:rFonts w:eastAsia="Times New Roman" w:cstheme="minorHAnsi"/>
                <w:color w:val="000000"/>
                <w:sz w:val="18"/>
                <w:szCs w:val="18"/>
              </w:rPr>
            </w:pPr>
            <w:r>
              <w:rPr>
                <w:rFonts w:cstheme="minorHAnsi"/>
                <w:color w:val="000000"/>
                <w:sz w:val="20"/>
                <w:szCs w:val="20"/>
              </w:rPr>
              <w:t>MARIS</w:t>
            </w:r>
            <w:r>
              <w:rPr>
                <w:rStyle w:val="FootnoteReference"/>
                <w:rFonts w:cstheme="minorHAnsi"/>
                <w:color w:val="000000"/>
                <w:sz w:val="20"/>
                <w:szCs w:val="20"/>
              </w:rPr>
              <w:footnoteReference w:id="5"/>
            </w:r>
          </w:p>
        </w:tc>
        <w:tc>
          <w:tcPr>
            <w:tcW w:w="5392" w:type="dxa"/>
            <w:tcBorders>
              <w:bottom w:val="double" w:sz="4" w:space="0" w:color="0F6FC6" w:themeColor="accent1"/>
            </w:tcBorders>
            <w:shd w:val="clear" w:color="auto" w:fill="auto"/>
            <w:vAlign w:val="bottom"/>
          </w:tcPr>
          <w:p w14:paraId="508520F3" w14:textId="506D4DE5" w:rsidR="0016475C" w:rsidRPr="007628F9" w:rsidRDefault="0016475C" w:rsidP="0016475C">
            <w:pPr>
              <w:spacing w:after="0" w:line="240" w:lineRule="auto"/>
              <w:contextualSpacing/>
              <w:rPr>
                <w:rFonts w:eastAsia="Times New Roman" w:cstheme="minorHAnsi"/>
                <w:b/>
                <w:color w:val="000000"/>
                <w:sz w:val="18"/>
                <w:szCs w:val="18"/>
              </w:rPr>
            </w:pPr>
            <w:r>
              <w:rPr>
                <w:rFonts w:cstheme="minorHAnsi"/>
                <w:color w:val="000000"/>
                <w:sz w:val="20"/>
                <w:szCs w:val="20"/>
              </w:rPr>
              <w:t>Upgrade to MEDIN portal</w:t>
            </w:r>
          </w:p>
        </w:tc>
        <w:tc>
          <w:tcPr>
            <w:tcW w:w="1461" w:type="dxa"/>
            <w:tcBorders>
              <w:bottom w:val="double" w:sz="4" w:space="0" w:color="0F6FC6" w:themeColor="accent1"/>
            </w:tcBorders>
            <w:shd w:val="clear" w:color="auto" w:fill="auto"/>
            <w:vAlign w:val="center"/>
          </w:tcPr>
          <w:p w14:paraId="1E4DE6D1" w14:textId="1DFC625F" w:rsidR="0016475C" w:rsidRPr="00DC196E" w:rsidRDefault="0016475C" w:rsidP="0016475C">
            <w:pPr>
              <w:spacing w:after="0" w:line="240" w:lineRule="auto"/>
              <w:contextualSpacing/>
              <w:jc w:val="right"/>
              <w:rPr>
                <w:rFonts w:cstheme="minorHAnsi"/>
                <w:b/>
                <w:color w:val="000000"/>
                <w:sz w:val="18"/>
                <w:szCs w:val="18"/>
              </w:rPr>
            </w:pPr>
            <w:r>
              <w:rPr>
                <w:rFonts w:ascii="Calibri" w:hAnsi="Calibri" w:cstheme="minorHAnsi"/>
                <w:b/>
                <w:bCs/>
                <w:color w:val="000000"/>
                <w:sz w:val="18"/>
                <w:szCs w:val="18"/>
              </w:rPr>
              <w:t> </w:t>
            </w:r>
          </w:p>
        </w:tc>
      </w:tr>
      <w:tr w:rsidR="0016475C" w:rsidRPr="007628F9" w14:paraId="77C39568" w14:textId="77777777" w:rsidTr="00581230">
        <w:trPr>
          <w:trHeight w:val="20"/>
        </w:trPr>
        <w:tc>
          <w:tcPr>
            <w:tcW w:w="3920" w:type="dxa"/>
            <w:tcBorders>
              <w:top w:val="double" w:sz="4" w:space="0" w:color="0F6FC6" w:themeColor="accent1"/>
              <w:bottom w:val="double" w:sz="4" w:space="0" w:color="0F6FC6" w:themeColor="accent1"/>
            </w:tcBorders>
            <w:shd w:val="clear" w:color="auto" w:fill="C9F9FC" w:themeFill="accent3" w:themeFillTint="33"/>
            <w:noWrap/>
            <w:vAlign w:val="bottom"/>
          </w:tcPr>
          <w:p w14:paraId="6CAFB27D" w14:textId="77777777" w:rsidR="0016475C" w:rsidRPr="007628F9" w:rsidRDefault="0016475C" w:rsidP="0016475C">
            <w:pPr>
              <w:spacing w:after="0" w:line="240" w:lineRule="auto"/>
              <w:contextualSpacing/>
              <w:rPr>
                <w:rFonts w:eastAsia="Times New Roman" w:cstheme="minorHAnsi"/>
                <w:color w:val="000000"/>
                <w:sz w:val="18"/>
                <w:szCs w:val="18"/>
              </w:rPr>
            </w:pPr>
            <w:r w:rsidRPr="007628F9">
              <w:rPr>
                <w:rFonts w:eastAsia="Times New Roman" w:cstheme="minorHAnsi"/>
                <w:color w:val="000000"/>
                <w:sz w:val="18"/>
                <w:szCs w:val="18"/>
              </w:rPr>
              <w:t> </w:t>
            </w:r>
          </w:p>
        </w:tc>
        <w:tc>
          <w:tcPr>
            <w:tcW w:w="5392" w:type="dxa"/>
            <w:tcBorders>
              <w:top w:val="double" w:sz="4" w:space="0" w:color="0F6FC6" w:themeColor="accent1"/>
              <w:bottom w:val="double" w:sz="4" w:space="0" w:color="0F6FC6" w:themeColor="accent1"/>
            </w:tcBorders>
            <w:shd w:val="clear" w:color="auto" w:fill="C9F9FC" w:themeFill="accent3" w:themeFillTint="33"/>
          </w:tcPr>
          <w:p w14:paraId="2B5F677D" w14:textId="77777777" w:rsidR="0016475C" w:rsidRPr="007628F9" w:rsidRDefault="0016475C" w:rsidP="0016475C">
            <w:pPr>
              <w:spacing w:after="0" w:line="240" w:lineRule="auto"/>
              <w:contextualSpacing/>
              <w:rPr>
                <w:rFonts w:eastAsia="Times New Roman" w:cstheme="minorHAnsi"/>
                <w:b/>
                <w:color w:val="000000"/>
                <w:sz w:val="18"/>
                <w:szCs w:val="18"/>
              </w:rPr>
            </w:pPr>
            <w:r w:rsidRPr="007628F9">
              <w:rPr>
                <w:rFonts w:eastAsia="Times New Roman" w:cstheme="minorHAnsi"/>
                <w:b/>
                <w:color w:val="000000"/>
                <w:sz w:val="18"/>
                <w:szCs w:val="18"/>
              </w:rPr>
              <w:t> Total WS 3 expenditure</w:t>
            </w:r>
          </w:p>
        </w:tc>
        <w:tc>
          <w:tcPr>
            <w:tcW w:w="1461" w:type="dxa"/>
            <w:tcBorders>
              <w:top w:val="double" w:sz="4" w:space="0" w:color="0F6FC6" w:themeColor="accent1"/>
              <w:bottom w:val="double" w:sz="4" w:space="0" w:color="0F6FC6" w:themeColor="accent1"/>
            </w:tcBorders>
            <w:shd w:val="clear" w:color="auto" w:fill="C9F9FC" w:themeFill="accent3" w:themeFillTint="33"/>
            <w:vAlign w:val="center"/>
          </w:tcPr>
          <w:p w14:paraId="0611E67A" w14:textId="70EA213A" w:rsidR="0016475C" w:rsidRPr="00DC196E" w:rsidRDefault="0016475C" w:rsidP="0016475C">
            <w:pPr>
              <w:spacing w:after="0" w:line="240" w:lineRule="auto"/>
              <w:contextualSpacing/>
              <w:jc w:val="right"/>
              <w:rPr>
                <w:rFonts w:cstheme="minorHAnsi"/>
                <w:b/>
                <w:color w:val="000000"/>
                <w:sz w:val="18"/>
                <w:szCs w:val="18"/>
              </w:rPr>
            </w:pPr>
            <w:r>
              <w:rPr>
                <w:rFonts w:ascii="Calibri" w:hAnsi="Calibri"/>
                <w:b/>
                <w:bCs/>
                <w:color w:val="000000"/>
                <w:sz w:val="18"/>
                <w:szCs w:val="18"/>
              </w:rPr>
              <w:t>£31,473</w:t>
            </w:r>
          </w:p>
        </w:tc>
      </w:tr>
      <w:tr w:rsidR="0016475C" w:rsidRPr="007628F9" w14:paraId="4491B254" w14:textId="77777777" w:rsidTr="00581230">
        <w:trPr>
          <w:trHeight w:val="20"/>
        </w:trPr>
        <w:tc>
          <w:tcPr>
            <w:tcW w:w="3920" w:type="dxa"/>
            <w:tcBorders>
              <w:top w:val="double" w:sz="4" w:space="0" w:color="0F6FC6" w:themeColor="accent1"/>
              <w:bottom w:val="double" w:sz="4" w:space="0" w:color="0F6FC6" w:themeColor="accent1"/>
            </w:tcBorders>
            <w:shd w:val="clear" w:color="auto" w:fill="auto"/>
            <w:noWrap/>
            <w:vAlign w:val="bottom"/>
          </w:tcPr>
          <w:p w14:paraId="2547B4BD" w14:textId="15E0BCEF" w:rsidR="0016475C" w:rsidRPr="007628F9" w:rsidRDefault="0016475C" w:rsidP="0016475C">
            <w:pPr>
              <w:spacing w:after="0" w:line="240" w:lineRule="auto"/>
              <w:contextualSpacing/>
              <w:rPr>
                <w:rFonts w:eastAsia="Times New Roman" w:cstheme="minorHAnsi"/>
                <w:color w:val="000000"/>
                <w:sz w:val="18"/>
                <w:szCs w:val="18"/>
              </w:rPr>
            </w:pPr>
            <w:r>
              <w:rPr>
                <w:rFonts w:cstheme="minorHAnsi"/>
                <w:color w:val="000000"/>
                <w:sz w:val="20"/>
                <w:szCs w:val="20"/>
              </w:rPr>
              <w:t xml:space="preserve">BODC </w:t>
            </w:r>
          </w:p>
        </w:tc>
        <w:tc>
          <w:tcPr>
            <w:tcW w:w="5392" w:type="dxa"/>
            <w:tcBorders>
              <w:top w:val="double" w:sz="4" w:space="0" w:color="0F6FC6" w:themeColor="accent1"/>
              <w:bottom w:val="double" w:sz="4" w:space="0" w:color="0F6FC6" w:themeColor="accent1"/>
            </w:tcBorders>
            <w:shd w:val="clear" w:color="auto" w:fill="auto"/>
            <w:vAlign w:val="bottom"/>
          </w:tcPr>
          <w:p w14:paraId="4AED772C" w14:textId="0C592298" w:rsidR="0016475C" w:rsidRPr="007628F9" w:rsidRDefault="0016475C" w:rsidP="0016475C">
            <w:pPr>
              <w:spacing w:after="0" w:line="240" w:lineRule="auto"/>
              <w:contextualSpacing/>
              <w:rPr>
                <w:rFonts w:eastAsia="Times New Roman" w:cstheme="minorHAnsi"/>
                <w:b/>
                <w:color w:val="000000"/>
                <w:sz w:val="18"/>
                <w:szCs w:val="18"/>
              </w:rPr>
            </w:pPr>
            <w:r>
              <w:rPr>
                <w:rFonts w:ascii="Calibri" w:hAnsi="Calibri" w:cs="Calibri"/>
                <w:color w:val="000000"/>
                <w:sz w:val="20"/>
                <w:szCs w:val="20"/>
              </w:rPr>
              <w:t>Small project: Direct access to discrete water sample data using ERDDAP</w:t>
            </w:r>
          </w:p>
        </w:tc>
        <w:tc>
          <w:tcPr>
            <w:tcW w:w="1461" w:type="dxa"/>
            <w:tcBorders>
              <w:top w:val="double" w:sz="4" w:space="0" w:color="0F6FC6" w:themeColor="accent1"/>
              <w:bottom w:val="double" w:sz="4" w:space="0" w:color="0F6FC6" w:themeColor="accent1"/>
            </w:tcBorders>
            <w:shd w:val="clear" w:color="auto" w:fill="auto"/>
            <w:vAlign w:val="center"/>
          </w:tcPr>
          <w:p w14:paraId="1301BBE3" w14:textId="48B7E479" w:rsidR="0016475C" w:rsidRPr="00DC196E" w:rsidRDefault="0016475C" w:rsidP="0016475C">
            <w:pPr>
              <w:spacing w:after="0" w:line="240" w:lineRule="auto"/>
              <w:contextualSpacing/>
              <w:jc w:val="right"/>
              <w:rPr>
                <w:rFonts w:cstheme="minorHAnsi"/>
                <w:b/>
                <w:color w:val="000000"/>
                <w:sz w:val="18"/>
                <w:szCs w:val="18"/>
              </w:rPr>
            </w:pPr>
            <w:r>
              <w:rPr>
                <w:rFonts w:ascii="Calibri" w:hAnsi="Calibri"/>
                <w:color w:val="000000"/>
                <w:sz w:val="18"/>
                <w:szCs w:val="18"/>
              </w:rPr>
              <w:t>£10,800</w:t>
            </w:r>
          </w:p>
        </w:tc>
      </w:tr>
      <w:tr w:rsidR="0016475C" w:rsidRPr="007628F9" w14:paraId="4C5DA8E7" w14:textId="77777777" w:rsidTr="00581230">
        <w:trPr>
          <w:trHeight w:val="20"/>
        </w:trPr>
        <w:tc>
          <w:tcPr>
            <w:tcW w:w="3920" w:type="dxa"/>
            <w:tcBorders>
              <w:top w:val="double" w:sz="4" w:space="0" w:color="0F6FC6" w:themeColor="accent1"/>
              <w:bottom w:val="double" w:sz="4" w:space="0" w:color="0F6FC6" w:themeColor="accent1"/>
            </w:tcBorders>
            <w:shd w:val="clear" w:color="auto" w:fill="auto"/>
            <w:noWrap/>
            <w:vAlign w:val="bottom"/>
          </w:tcPr>
          <w:p w14:paraId="416F440B" w14:textId="23643C65" w:rsidR="0016475C" w:rsidRPr="007628F9" w:rsidRDefault="0016475C" w:rsidP="0016475C">
            <w:pPr>
              <w:spacing w:after="0" w:line="240" w:lineRule="auto"/>
              <w:contextualSpacing/>
              <w:rPr>
                <w:rFonts w:cs="Calibri"/>
                <w:i/>
                <w:iCs/>
                <w:color w:val="000000"/>
                <w:sz w:val="18"/>
                <w:szCs w:val="18"/>
              </w:rPr>
            </w:pPr>
            <w:r>
              <w:rPr>
                <w:rFonts w:cstheme="minorHAnsi"/>
                <w:color w:val="000000"/>
                <w:sz w:val="20"/>
                <w:szCs w:val="20"/>
              </w:rPr>
              <w:t xml:space="preserve">MBA / DASSH </w:t>
            </w:r>
          </w:p>
        </w:tc>
        <w:tc>
          <w:tcPr>
            <w:tcW w:w="5392" w:type="dxa"/>
            <w:tcBorders>
              <w:top w:val="double" w:sz="4" w:space="0" w:color="0F6FC6" w:themeColor="accent1"/>
              <w:bottom w:val="double" w:sz="4" w:space="0" w:color="0F6FC6" w:themeColor="accent1"/>
            </w:tcBorders>
            <w:shd w:val="clear" w:color="auto" w:fill="auto"/>
            <w:vAlign w:val="bottom"/>
          </w:tcPr>
          <w:p w14:paraId="64924238" w14:textId="576DA3BD" w:rsidR="0016475C" w:rsidRPr="007628F9" w:rsidRDefault="0016475C" w:rsidP="0016475C">
            <w:pPr>
              <w:spacing w:after="0" w:line="240" w:lineRule="auto"/>
              <w:contextualSpacing/>
              <w:rPr>
                <w:rFonts w:cs="Calibri"/>
                <w:color w:val="000000"/>
                <w:sz w:val="18"/>
                <w:szCs w:val="18"/>
              </w:rPr>
            </w:pPr>
            <w:r>
              <w:rPr>
                <w:rFonts w:ascii="Calibri" w:hAnsi="Calibri" w:cs="Calibri"/>
                <w:color w:val="000000"/>
                <w:sz w:val="20"/>
                <w:szCs w:val="20"/>
              </w:rPr>
              <w:t xml:space="preserve">Small project: MEDIN Automated Image Management system </w:t>
            </w:r>
          </w:p>
        </w:tc>
        <w:tc>
          <w:tcPr>
            <w:tcW w:w="1461" w:type="dxa"/>
            <w:tcBorders>
              <w:top w:val="double" w:sz="4" w:space="0" w:color="0F6FC6" w:themeColor="accent1"/>
              <w:bottom w:val="double" w:sz="4" w:space="0" w:color="0F6FC6" w:themeColor="accent1"/>
            </w:tcBorders>
            <w:shd w:val="clear" w:color="auto" w:fill="auto"/>
            <w:vAlign w:val="center"/>
          </w:tcPr>
          <w:p w14:paraId="5A035195" w14:textId="0758EBCB" w:rsidR="0016475C" w:rsidRPr="00DC196E" w:rsidRDefault="0016475C" w:rsidP="0016475C">
            <w:pPr>
              <w:spacing w:after="0" w:line="240" w:lineRule="auto"/>
              <w:contextualSpacing/>
              <w:jc w:val="right"/>
              <w:rPr>
                <w:rFonts w:cs="Calibri"/>
                <w:color w:val="000000"/>
                <w:sz w:val="18"/>
                <w:szCs w:val="18"/>
              </w:rPr>
            </w:pPr>
            <w:r>
              <w:rPr>
                <w:rFonts w:ascii="Calibri" w:hAnsi="Calibri"/>
                <w:color w:val="000000"/>
                <w:sz w:val="18"/>
                <w:szCs w:val="18"/>
              </w:rPr>
              <w:t>£7,500</w:t>
            </w:r>
          </w:p>
        </w:tc>
      </w:tr>
      <w:tr w:rsidR="0016475C" w:rsidRPr="007628F9" w14:paraId="1388708B" w14:textId="77777777" w:rsidTr="00581230">
        <w:trPr>
          <w:trHeight w:val="20"/>
        </w:trPr>
        <w:tc>
          <w:tcPr>
            <w:tcW w:w="3920" w:type="dxa"/>
            <w:tcBorders>
              <w:top w:val="double" w:sz="4" w:space="0" w:color="0F6FC6" w:themeColor="accent1"/>
              <w:bottom w:val="double" w:sz="4" w:space="0" w:color="0F6FC6" w:themeColor="accent1"/>
            </w:tcBorders>
            <w:shd w:val="clear" w:color="auto" w:fill="C9F9FC" w:themeFill="accent3" w:themeFillTint="33"/>
            <w:noWrap/>
            <w:vAlign w:val="bottom"/>
          </w:tcPr>
          <w:p w14:paraId="24732991" w14:textId="77777777" w:rsidR="0016475C" w:rsidRPr="007628F9" w:rsidRDefault="0016475C" w:rsidP="0016475C">
            <w:pPr>
              <w:spacing w:after="0" w:line="240" w:lineRule="auto"/>
              <w:contextualSpacing/>
              <w:rPr>
                <w:rFonts w:eastAsia="Times New Roman" w:cstheme="minorHAnsi"/>
                <w:color w:val="000000"/>
                <w:sz w:val="18"/>
                <w:szCs w:val="18"/>
              </w:rPr>
            </w:pPr>
            <w:r w:rsidRPr="007628F9">
              <w:rPr>
                <w:rFonts w:eastAsia="Times New Roman" w:cstheme="minorHAnsi"/>
                <w:color w:val="000000"/>
                <w:sz w:val="18"/>
                <w:szCs w:val="18"/>
              </w:rPr>
              <w:t> </w:t>
            </w:r>
          </w:p>
        </w:tc>
        <w:tc>
          <w:tcPr>
            <w:tcW w:w="5392" w:type="dxa"/>
            <w:tcBorders>
              <w:top w:val="double" w:sz="4" w:space="0" w:color="0F6FC6" w:themeColor="accent1"/>
              <w:bottom w:val="double" w:sz="4" w:space="0" w:color="0F6FC6" w:themeColor="accent1"/>
            </w:tcBorders>
            <w:shd w:val="clear" w:color="auto" w:fill="C9F9FC" w:themeFill="accent3" w:themeFillTint="33"/>
          </w:tcPr>
          <w:p w14:paraId="710E6C7A" w14:textId="77777777" w:rsidR="0016475C" w:rsidRPr="007628F9" w:rsidRDefault="0016475C" w:rsidP="0016475C">
            <w:pPr>
              <w:spacing w:after="0" w:line="240" w:lineRule="auto"/>
              <w:contextualSpacing/>
              <w:rPr>
                <w:rFonts w:eastAsia="Times New Roman" w:cstheme="minorHAnsi"/>
                <w:b/>
                <w:color w:val="000000"/>
                <w:sz w:val="18"/>
                <w:szCs w:val="18"/>
              </w:rPr>
            </w:pPr>
            <w:r w:rsidRPr="007628F9">
              <w:rPr>
                <w:rFonts w:eastAsia="Times New Roman" w:cstheme="minorHAnsi"/>
                <w:b/>
                <w:color w:val="000000"/>
                <w:sz w:val="18"/>
                <w:szCs w:val="18"/>
              </w:rPr>
              <w:t> Total WS5 expenditure</w:t>
            </w:r>
          </w:p>
        </w:tc>
        <w:tc>
          <w:tcPr>
            <w:tcW w:w="1461" w:type="dxa"/>
            <w:tcBorders>
              <w:top w:val="double" w:sz="4" w:space="0" w:color="0F6FC6" w:themeColor="accent1"/>
              <w:bottom w:val="double" w:sz="4" w:space="0" w:color="0F6FC6" w:themeColor="accent1"/>
            </w:tcBorders>
            <w:shd w:val="clear" w:color="auto" w:fill="C9F9FC" w:themeFill="accent3" w:themeFillTint="33"/>
            <w:vAlign w:val="center"/>
          </w:tcPr>
          <w:p w14:paraId="51646520" w14:textId="1ED74BD2" w:rsidR="0016475C" w:rsidRPr="00DC196E" w:rsidRDefault="0016475C" w:rsidP="0016475C">
            <w:pPr>
              <w:spacing w:after="0" w:line="240" w:lineRule="auto"/>
              <w:contextualSpacing/>
              <w:jc w:val="right"/>
              <w:rPr>
                <w:rFonts w:cstheme="minorHAnsi"/>
                <w:b/>
                <w:color w:val="000000"/>
                <w:sz w:val="18"/>
                <w:szCs w:val="18"/>
              </w:rPr>
            </w:pPr>
            <w:r>
              <w:rPr>
                <w:rFonts w:ascii="Calibri" w:hAnsi="Calibri"/>
                <w:b/>
                <w:bCs/>
                <w:color w:val="000000"/>
                <w:sz w:val="18"/>
                <w:szCs w:val="18"/>
              </w:rPr>
              <w:t>£18,300</w:t>
            </w:r>
          </w:p>
        </w:tc>
      </w:tr>
      <w:tr w:rsidR="0016475C" w:rsidRPr="007628F9" w14:paraId="22746B22" w14:textId="77777777" w:rsidTr="00581230">
        <w:trPr>
          <w:trHeight w:val="20"/>
        </w:trPr>
        <w:tc>
          <w:tcPr>
            <w:tcW w:w="3920" w:type="dxa"/>
            <w:tcBorders>
              <w:top w:val="double" w:sz="4" w:space="0" w:color="0F6FC6" w:themeColor="accent1"/>
            </w:tcBorders>
            <w:shd w:val="clear" w:color="auto" w:fill="auto"/>
            <w:noWrap/>
            <w:vAlign w:val="bottom"/>
          </w:tcPr>
          <w:p w14:paraId="745237E5" w14:textId="2316FF11" w:rsidR="0016475C" w:rsidRPr="007628F9" w:rsidRDefault="0016475C" w:rsidP="0016475C">
            <w:pPr>
              <w:spacing w:after="0" w:line="240" w:lineRule="auto"/>
              <w:contextualSpacing/>
              <w:rPr>
                <w:rFonts w:eastAsia="Times New Roman" w:cstheme="minorHAnsi"/>
                <w:color w:val="000000"/>
                <w:sz w:val="18"/>
                <w:szCs w:val="18"/>
              </w:rPr>
            </w:pPr>
            <w:r>
              <w:rPr>
                <w:rFonts w:ascii="Calibri" w:hAnsi="Calibri" w:cs="Calibri"/>
                <w:color w:val="000000"/>
                <w:sz w:val="20"/>
                <w:szCs w:val="20"/>
              </w:rPr>
              <w:t>3men squared limited</w:t>
            </w:r>
          </w:p>
        </w:tc>
        <w:tc>
          <w:tcPr>
            <w:tcW w:w="5392" w:type="dxa"/>
            <w:tcBorders>
              <w:top w:val="double" w:sz="4" w:space="0" w:color="0F6FC6" w:themeColor="accent1"/>
            </w:tcBorders>
            <w:shd w:val="clear" w:color="auto" w:fill="auto"/>
            <w:vAlign w:val="bottom"/>
          </w:tcPr>
          <w:p w14:paraId="11373D43" w14:textId="7C66464F" w:rsidR="0016475C" w:rsidRPr="007628F9" w:rsidRDefault="0016475C" w:rsidP="0016475C">
            <w:pPr>
              <w:spacing w:after="0" w:line="240" w:lineRule="auto"/>
              <w:contextualSpacing/>
              <w:rPr>
                <w:rFonts w:eastAsia="Times New Roman" w:cstheme="minorHAnsi"/>
                <w:b/>
                <w:color w:val="000000"/>
                <w:sz w:val="18"/>
                <w:szCs w:val="18"/>
              </w:rPr>
            </w:pPr>
            <w:r>
              <w:rPr>
                <w:rFonts w:cstheme="minorHAnsi"/>
                <w:color w:val="000000"/>
                <w:sz w:val="20"/>
                <w:szCs w:val="20"/>
              </w:rPr>
              <w:t>Graphic design support</w:t>
            </w:r>
          </w:p>
        </w:tc>
        <w:tc>
          <w:tcPr>
            <w:tcW w:w="1461" w:type="dxa"/>
            <w:tcBorders>
              <w:top w:val="double" w:sz="4" w:space="0" w:color="0F6FC6" w:themeColor="accent1"/>
            </w:tcBorders>
            <w:shd w:val="clear" w:color="auto" w:fill="auto"/>
            <w:vAlign w:val="center"/>
          </w:tcPr>
          <w:p w14:paraId="0F35EA91" w14:textId="2BC93BC9" w:rsidR="0016475C" w:rsidRPr="00DC196E" w:rsidRDefault="0016475C" w:rsidP="0016475C">
            <w:pPr>
              <w:spacing w:after="0" w:line="240" w:lineRule="auto"/>
              <w:contextualSpacing/>
              <w:jc w:val="right"/>
              <w:rPr>
                <w:rFonts w:cstheme="minorHAnsi"/>
                <w:b/>
                <w:color w:val="000000"/>
                <w:sz w:val="18"/>
                <w:szCs w:val="18"/>
              </w:rPr>
            </w:pPr>
            <w:r>
              <w:rPr>
                <w:rFonts w:ascii="Calibri" w:hAnsi="Calibri" w:cstheme="minorHAnsi"/>
                <w:color w:val="000000"/>
                <w:sz w:val="18"/>
                <w:szCs w:val="18"/>
              </w:rPr>
              <w:t>£2,520</w:t>
            </w:r>
          </w:p>
        </w:tc>
      </w:tr>
      <w:tr w:rsidR="0016475C" w:rsidRPr="007628F9" w14:paraId="1ECB31E4" w14:textId="77777777" w:rsidTr="00581230">
        <w:trPr>
          <w:trHeight w:val="20"/>
        </w:trPr>
        <w:tc>
          <w:tcPr>
            <w:tcW w:w="3920" w:type="dxa"/>
            <w:shd w:val="clear" w:color="auto" w:fill="auto"/>
            <w:noWrap/>
            <w:vAlign w:val="bottom"/>
          </w:tcPr>
          <w:p w14:paraId="673EC281" w14:textId="08DF6F91" w:rsidR="0016475C" w:rsidRPr="007628F9" w:rsidRDefault="0016475C" w:rsidP="0016475C">
            <w:pPr>
              <w:spacing w:after="0" w:line="240" w:lineRule="auto"/>
              <w:contextualSpacing/>
              <w:rPr>
                <w:rFonts w:eastAsia="Times New Roman" w:cstheme="minorHAnsi"/>
                <w:color w:val="000000"/>
                <w:sz w:val="18"/>
                <w:szCs w:val="18"/>
              </w:rPr>
            </w:pPr>
            <w:r>
              <w:rPr>
                <w:rFonts w:cstheme="minorHAnsi"/>
                <w:color w:val="000000"/>
                <w:sz w:val="20"/>
                <w:szCs w:val="20"/>
              </w:rPr>
              <w:t>MASTS Annual Science Meeting</w:t>
            </w:r>
          </w:p>
        </w:tc>
        <w:tc>
          <w:tcPr>
            <w:tcW w:w="5392" w:type="dxa"/>
            <w:shd w:val="clear" w:color="auto" w:fill="auto"/>
            <w:vAlign w:val="bottom"/>
          </w:tcPr>
          <w:p w14:paraId="6DB8AFD1" w14:textId="4E331EE5" w:rsidR="0016475C" w:rsidRPr="007628F9" w:rsidRDefault="0016475C" w:rsidP="0016475C">
            <w:pPr>
              <w:spacing w:after="0" w:line="240" w:lineRule="auto"/>
              <w:contextualSpacing/>
              <w:rPr>
                <w:rFonts w:eastAsia="Times New Roman" w:cstheme="minorHAnsi"/>
                <w:b/>
                <w:color w:val="000000"/>
                <w:sz w:val="18"/>
                <w:szCs w:val="18"/>
              </w:rPr>
            </w:pPr>
            <w:r>
              <w:rPr>
                <w:rFonts w:cstheme="minorHAnsi"/>
                <w:color w:val="000000"/>
                <w:sz w:val="20"/>
                <w:szCs w:val="20"/>
              </w:rPr>
              <w:t>Conference fee</w:t>
            </w:r>
          </w:p>
        </w:tc>
        <w:tc>
          <w:tcPr>
            <w:tcW w:w="1461" w:type="dxa"/>
            <w:shd w:val="clear" w:color="auto" w:fill="auto"/>
            <w:vAlign w:val="center"/>
          </w:tcPr>
          <w:p w14:paraId="613DE6C6" w14:textId="4CB5E7CE" w:rsidR="0016475C" w:rsidRPr="00DC196E" w:rsidRDefault="0016475C" w:rsidP="0016475C">
            <w:pPr>
              <w:spacing w:after="0" w:line="240" w:lineRule="auto"/>
              <w:contextualSpacing/>
              <w:jc w:val="right"/>
              <w:rPr>
                <w:rFonts w:cstheme="minorHAnsi"/>
                <w:b/>
                <w:color w:val="000000"/>
                <w:sz w:val="18"/>
                <w:szCs w:val="18"/>
              </w:rPr>
            </w:pPr>
            <w:r>
              <w:rPr>
                <w:rFonts w:ascii="Calibri" w:hAnsi="Calibri" w:cstheme="minorHAnsi"/>
                <w:color w:val="000000"/>
                <w:sz w:val="18"/>
                <w:szCs w:val="18"/>
              </w:rPr>
              <w:t>£120</w:t>
            </w:r>
          </w:p>
        </w:tc>
      </w:tr>
      <w:tr w:rsidR="0016475C" w:rsidRPr="007628F9" w14:paraId="34C8C7BD" w14:textId="77777777" w:rsidTr="00581230">
        <w:trPr>
          <w:trHeight w:val="20"/>
        </w:trPr>
        <w:tc>
          <w:tcPr>
            <w:tcW w:w="3920" w:type="dxa"/>
            <w:shd w:val="clear" w:color="auto" w:fill="auto"/>
            <w:noWrap/>
            <w:vAlign w:val="bottom"/>
          </w:tcPr>
          <w:p w14:paraId="7445CA3F" w14:textId="0357CD84" w:rsidR="0016475C" w:rsidRPr="007628F9" w:rsidRDefault="0016475C" w:rsidP="0016475C">
            <w:pPr>
              <w:spacing w:after="0" w:line="240" w:lineRule="auto"/>
              <w:contextualSpacing/>
              <w:rPr>
                <w:rFonts w:eastAsia="Times New Roman" w:cstheme="minorHAnsi"/>
                <w:color w:val="000000"/>
                <w:sz w:val="18"/>
                <w:szCs w:val="18"/>
              </w:rPr>
            </w:pPr>
            <w:r>
              <w:rPr>
                <w:rFonts w:cstheme="minorHAnsi"/>
                <w:color w:val="000000"/>
                <w:sz w:val="20"/>
                <w:szCs w:val="20"/>
              </w:rPr>
              <w:t>CMS</w:t>
            </w:r>
          </w:p>
        </w:tc>
        <w:tc>
          <w:tcPr>
            <w:tcW w:w="5392" w:type="dxa"/>
            <w:shd w:val="clear" w:color="auto" w:fill="auto"/>
            <w:vAlign w:val="bottom"/>
          </w:tcPr>
          <w:p w14:paraId="346CCB99" w14:textId="2FC3A70F" w:rsidR="0016475C" w:rsidRPr="007628F9" w:rsidRDefault="0016475C" w:rsidP="0016475C">
            <w:pPr>
              <w:spacing w:after="0" w:line="240" w:lineRule="auto"/>
              <w:contextualSpacing/>
              <w:rPr>
                <w:rFonts w:eastAsia="Times New Roman" w:cstheme="minorHAnsi"/>
                <w:b/>
                <w:color w:val="000000"/>
                <w:sz w:val="18"/>
                <w:szCs w:val="18"/>
              </w:rPr>
            </w:pPr>
            <w:r>
              <w:rPr>
                <w:rFonts w:cstheme="minorHAnsi"/>
                <w:color w:val="000000"/>
                <w:sz w:val="20"/>
                <w:szCs w:val="20"/>
              </w:rPr>
              <w:t>Conference fee</w:t>
            </w:r>
          </w:p>
        </w:tc>
        <w:tc>
          <w:tcPr>
            <w:tcW w:w="1461" w:type="dxa"/>
            <w:shd w:val="clear" w:color="auto" w:fill="auto"/>
            <w:vAlign w:val="center"/>
          </w:tcPr>
          <w:p w14:paraId="4CCB7809" w14:textId="59BE129A" w:rsidR="0016475C" w:rsidRPr="00DC196E" w:rsidRDefault="0016475C" w:rsidP="0016475C">
            <w:pPr>
              <w:spacing w:after="0" w:line="240" w:lineRule="auto"/>
              <w:contextualSpacing/>
              <w:jc w:val="right"/>
              <w:rPr>
                <w:rFonts w:cstheme="minorHAnsi"/>
                <w:b/>
                <w:color w:val="000000"/>
                <w:sz w:val="18"/>
                <w:szCs w:val="18"/>
              </w:rPr>
            </w:pPr>
            <w:r>
              <w:rPr>
                <w:rFonts w:ascii="Calibri" w:hAnsi="Calibri" w:cstheme="minorHAnsi"/>
                <w:color w:val="000000"/>
                <w:sz w:val="18"/>
                <w:szCs w:val="18"/>
              </w:rPr>
              <w:t>£108</w:t>
            </w:r>
          </w:p>
        </w:tc>
      </w:tr>
      <w:tr w:rsidR="0016475C" w:rsidRPr="007628F9" w14:paraId="693488F3" w14:textId="77777777" w:rsidTr="00581230">
        <w:trPr>
          <w:trHeight w:val="20"/>
        </w:trPr>
        <w:tc>
          <w:tcPr>
            <w:tcW w:w="3920" w:type="dxa"/>
            <w:shd w:val="clear" w:color="auto" w:fill="auto"/>
            <w:noWrap/>
            <w:vAlign w:val="bottom"/>
          </w:tcPr>
          <w:p w14:paraId="15A368AB" w14:textId="2F6D73E3" w:rsidR="0016475C" w:rsidRPr="007628F9" w:rsidRDefault="0016475C" w:rsidP="0016475C">
            <w:pPr>
              <w:spacing w:after="0" w:line="240" w:lineRule="auto"/>
              <w:contextualSpacing/>
              <w:rPr>
                <w:rFonts w:eastAsia="Times New Roman" w:cstheme="minorHAnsi"/>
                <w:color w:val="000000"/>
                <w:sz w:val="18"/>
                <w:szCs w:val="18"/>
              </w:rPr>
            </w:pPr>
            <w:r>
              <w:rPr>
                <w:rFonts w:cstheme="minorHAnsi"/>
                <w:color w:val="000000"/>
                <w:sz w:val="20"/>
                <w:szCs w:val="20"/>
              </w:rPr>
              <w:t>Dell</w:t>
            </w:r>
          </w:p>
        </w:tc>
        <w:tc>
          <w:tcPr>
            <w:tcW w:w="5392" w:type="dxa"/>
            <w:shd w:val="clear" w:color="auto" w:fill="auto"/>
            <w:vAlign w:val="bottom"/>
          </w:tcPr>
          <w:p w14:paraId="38F314C7" w14:textId="430FAAE0" w:rsidR="0016475C" w:rsidRPr="007628F9" w:rsidRDefault="0016475C" w:rsidP="0016475C">
            <w:pPr>
              <w:spacing w:after="0" w:line="240" w:lineRule="auto"/>
              <w:contextualSpacing/>
              <w:rPr>
                <w:rFonts w:eastAsia="Times New Roman" w:cstheme="minorHAnsi"/>
                <w:b/>
                <w:color w:val="000000"/>
                <w:sz w:val="18"/>
                <w:szCs w:val="18"/>
              </w:rPr>
            </w:pPr>
            <w:r>
              <w:rPr>
                <w:rFonts w:cstheme="minorHAnsi"/>
                <w:color w:val="000000"/>
                <w:sz w:val="20"/>
                <w:szCs w:val="20"/>
              </w:rPr>
              <w:t>Laptop for Core Team member</w:t>
            </w:r>
          </w:p>
        </w:tc>
        <w:tc>
          <w:tcPr>
            <w:tcW w:w="1461" w:type="dxa"/>
            <w:shd w:val="clear" w:color="auto" w:fill="auto"/>
            <w:vAlign w:val="center"/>
          </w:tcPr>
          <w:p w14:paraId="6070FA05" w14:textId="03D52CBB" w:rsidR="0016475C" w:rsidRPr="00DC196E" w:rsidRDefault="0016475C" w:rsidP="0016475C">
            <w:pPr>
              <w:spacing w:after="0" w:line="240" w:lineRule="auto"/>
              <w:contextualSpacing/>
              <w:jc w:val="right"/>
              <w:rPr>
                <w:rFonts w:cstheme="minorHAnsi"/>
                <w:b/>
                <w:color w:val="000000"/>
                <w:sz w:val="18"/>
                <w:szCs w:val="18"/>
              </w:rPr>
            </w:pPr>
            <w:r>
              <w:rPr>
                <w:rFonts w:ascii="Calibri" w:hAnsi="Calibri"/>
                <w:color w:val="000000"/>
                <w:sz w:val="18"/>
                <w:szCs w:val="18"/>
              </w:rPr>
              <w:t>£887</w:t>
            </w:r>
          </w:p>
        </w:tc>
      </w:tr>
      <w:tr w:rsidR="0016475C" w:rsidRPr="007628F9" w14:paraId="4419BC22" w14:textId="77777777" w:rsidTr="00581230">
        <w:trPr>
          <w:trHeight w:val="20"/>
        </w:trPr>
        <w:tc>
          <w:tcPr>
            <w:tcW w:w="3920" w:type="dxa"/>
            <w:tcBorders>
              <w:bottom w:val="double" w:sz="4" w:space="0" w:color="0F6FC6" w:themeColor="accent1"/>
            </w:tcBorders>
            <w:shd w:val="clear" w:color="auto" w:fill="auto"/>
            <w:noWrap/>
            <w:vAlign w:val="bottom"/>
          </w:tcPr>
          <w:p w14:paraId="1F76CB24" w14:textId="312535F9" w:rsidR="0016475C" w:rsidRPr="007628F9" w:rsidRDefault="0016475C" w:rsidP="0016475C">
            <w:pPr>
              <w:spacing w:after="0" w:line="240" w:lineRule="auto"/>
              <w:contextualSpacing/>
              <w:rPr>
                <w:rFonts w:eastAsia="Times New Roman" w:cstheme="minorHAnsi"/>
                <w:color w:val="000000"/>
                <w:sz w:val="18"/>
                <w:szCs w:val="18"/>
              </w:rPr>
            </w:pPr>
            <w:r>
              <w:rPr>
                <w:rFonts w:cstheme="minorHAnsi"/>
                <w:i/>
                <w:iCs/>
                <w:color w:val="000000"/>
                <w:sz w:val="20"/>
                <w:szCs w:val="20"/>
              </w:rPr>
              <w:t>Multiple suppliers</w:t>
            </w:r>
          </w:p>
        </w:tc>
        <w:tc>
          <w:tcPr>
            <w:tcW w:w="5392" w:type="dxa"/>
            <w:tcBorders>
              <w:bottom w:val="double" w:sz="4" w:space="0" w:color="0F6FC6" w:themeColor="accent1"/>
            </w:tcBorders>
            <w:shd w:val="clear" w:color="auto" w:fill="auto"/>
            <w:vAlign w:val="bottom"/>
          </w:tcPr>
          <w:p w14:paraId="2B5BD708" w14:textId="7B945EB4" w:rsidR="0016475C" w:rsidRPr="007628F9" w:rsidRDefault="0016475C" w:rsidP="0016475C">
            <w:pPr>
              <w:spacing w:after="0" w:line="240" w:lineRule="auto"/>
              <w:contextualSpacing/>
              <w:rPr>
                <w:rFonts w:eastAsia="Times New Roman" w:cstheme="minorHAnsi"/>
                <w:b/>
                <w:color w:val="000000"/>
                <w:sz w:val="18"/>
                <w:szCs w:val="18"/>
              </w:rPr>
            </w:pPr>
            <w:r>
              <w:rPr>
                <w:rFonts w:cstheme="minorHAnsi"/>
                <w:color w:val="000000"/>
                <w:sz w:val="20"/>
                <w:szCs w:val="20"/>
              </w:rPr>
              <w:t>Courier costs and software license</w:t>
            </w:r>
          </w:p>
        </w:tc>
        <w:tc>
          <w:tcPr>
            <w:tcW w:w="1461" w:type="dxa"/>
            <w:tcBorders>
              <w:bottom w:val="double" w:sz="4" w:space="0" w:color="0F6FC6" w:themeColor="accent1"/>
            </w:tcBorders>
            <w:shd w:val="clear" w:color="auto" w:fill="auto"/>
            <w:vAlign w:val="center"/>
          </w:tcPr>
          <w:p w14:paraId="7D551529" w14:textId="3B5ED8A5" w:rsidR="0016475C" w:rsidRPr="00DC196E" w:rsidRDefault="0016475C" w:rsidP="0016475C">
            <w:pPr>
              <w:spacing w:after="0" w:line="240" w:lineRule="auto"/>
              <w:contextualSpacing/>
              <w:jc w:val="right"/>
              <w:rPr>
                <w:rFonts w:cstheme="minorHAnsi"/>
                <w:b/>
                <w:color w:val="000000"/>
                <w:sz w:val="18"/>
                <w:szCs w:val="18"/>
              </w:rPr>
            </w:pPr>
            <w:r>
              <w:rPr>
                <w:rFonts w:ascii="Calibri" w:hAnsi="Calibri" w:cstheme="minorHAnsi"/>
                <w:color w:val="000000"/>
                <w:sz w:val="18"/>
                <w:szCs w:val="18"/>
              </w:rPr>
              <w:t>£132</w:t>
            </w:r>
          </w:p>
        </w:tc>
      </w:tr>
      <w:tr w:rsidR="0016475C" w:rsidRPr="007628F9" w14:paraId="54BBD470" w14:textId="77777777" w:rsidTr="00581230">
        <w:trPr>
          <w:trHeight w:val="20"/>
        </w:trPr>
        <w:tc>
          <w:tcPr>
            <w:tcW w:w="3920" w:type="dxa"/>
            <w:tcBorders>
              <w:top w:val="double" w:sz="4" w:space="0" w:color="0F6FC6" w:themeColor="accent1"/>
              <w:bottom w:val="double" w:sz="4" w:space="0" w:color="0F6FC6" w:themeColor="accent1"/>
            </w:tcBorders>
            <w:shd w:val="clear" w:color="auto" w:fill="C9F9FC" w:themeFill="accent3" w:themeFillTint="33"/>
            <w:noWrap/>
            <w:vAlign w:val="bottom"/>
          </w:tcPr>
          <w:p w14:paraId="2A53301B" w14:textId="77777777" w:rsidR="0016475C" w:rsidRPr="007628F9" w:rsidRDefault="0016475C" w:rsidP="0016475C">
            <w:pPr>
              <w:spacing w:after="0" w:line="240" w:lineRule="auto"/>
              <w:contextualSpacing/>
              <w:rPr>
                <w:rFonts w:eastAsia="Times New Roman" w:cstheme="minorHAnsi"/>
                <w:color w:val="000000"/>
                <w:sz w:val="18"/>
                <w:szCs w:val="18"/>
              </w:rPr>
            </w:pPr>
            <w:r w:rsidRPr="007628F9">
              <w:rPr>
                <w:rFonts w:eastAsia="Times New Roman" w:cstheme="minorHAnsi"/>
                <w:color w:val="000000"/>
                <w:sz w:val="18"/>
                <w:szCs w:val="18"/>
              </w:rPr>
              <w:t> </w:t>
            </w:r>
          </w:p>
        </w:tc>
        <w:tc>
          <w:tcPr>
            <w:tcW w:w="5392" w:type="dxa"/>
            <w:tcBorders>
              <w:top w:val="double" w:sz="4" w:space="0" w:color="0F6FC6" w:themeColor="accent1"/>
              <w:bottom w:val="double" w:sz="4" w:space="0" w:color="0F6FC6" w:themeColor="accent1"/>
            </w:tcBorders>
            <w:shd w:val="clear" w:color="auto" w:fill="C9F9FC" w:themeFill="accent3" w:themeFillTint="33"/>
          </w:tcPr>
          <w:p w14:paraId="546947C9" w14:textId="77777777" w:rsidR="0016475C" w:rsidRPr="007628F9" w:rsidRDefault="0016475C" w:rsidP="0016475C">
            <w:pPr>
              <w:spacing w:after="0" w:line="240" w:lineRule="auto"/>
              <w:contextualSpacing/>
              <w:rPr>
                <w:rFonts w:eastAsia="Times New Roman" w:cstheme="minorHAnsi"/>
                <w:b/>
                <w:color w:val="000000"/>
                <w:sz w:val="18"/>
                <w:szCs w:val="18"/>
              </w:rPr>
            </w:pPr>
            <w:r w:rsidRPr="007628F9">
              <w:rPr>
                <w:rFonts w:eastAsia="Times New Roman" w:cstheme="minorHAnsi"/>
                <w:b/>
                <w:color w:val="000000"/>
                <w:sz w:val="18"/>
                <w:szCs w:val="18"/>
              </w:rPr>
              <w:t> Total WS6 expenditure</w:t>
            </w:r>
          </w:p>
        </w:tc>
        <w:tc>
          <w:tcPr>
            <w:tcW w:w="1461" w:type="dxa"/>
            <w:tcBorders>
              <w:top w:val="double" w:sz="4" w:space="0" w:color="0F6FC6" w:themeColor="accent1"/>
              <w:bottom w:val="double" w:sz="4" w:space="0" w:color="0F6FC6" w:themeColor="accent1"/>
            </w:tcBorders>
            <w:shd w:val="clear" w:color="auto" w:fill="C9F9FC" w:themeFill="accent3" w:themeFillTint="33"/>
            <w:vAlign w:val="center"/>
          </w:tcPr>
          <w:p w14:paraId="65F3CAE6" w14:textId="5772FF3D" w:rsidR="0016475C" w:rsidRPr="00DC196E" w:rsidRDefault="0016475C" w:rsidP="0016475C">
            <w:pPr>
              <w:spacing w:after="0" w:line="240" w:lineRule="auto"/>
              <w:contextualSpacing/>
              <w:jc w:val="right"/>
              <w:rPr>
                <w:rFonts w:cstheme="minorHAnsi"/>
                <w:b/>
                <w:color w:val="000000"/>
                <w:sz w:val="18"/>
                <w:szCs w:val="18"/>
              </w:rPr>
            </w:pPr>
            <w:r>
              <w:rPr>
                <w:rFonts w:ascii="Calibri" w:hAnsi="Calibri"/>
                <w:b/>
                <w:bCs/>
                <w:color w:val="000000"/>
                <w:sz w:val="18"/>
                <w:szCs w:val="18"/>
              </w:rPr>
              <w:t>£3,768</w:t>
            </w:r>
          </w:p>
        </w:tc>
      </w:tr>
      <w:tr w:rsidR="0016475C" w:rsidRPr="007628F9" w14:paraId="54F268E2" w14:textId="77777777" w:rsidTr="00581230">
        <w:trPr>
          <w:trHeight w:val="20"/>
        </w:trPr>
        <w:tc>
          <w:tcPr>
            <w:tcW w:w="3920" w:type="dxa"/>
            <w:tcBorders>
              <w:top w:val="double" w:sz="4" w:space="0" w:color="0F6FC6" w:themeColor="accent1"/>
            </w:tcBorders>
            <w:shd w:val="clear" w:color="auto" w:fill="auto"/>
            <w:noWrap/>
            <w:vAlign w:val="bottom"/>
          </w:tcPr>
          <w:p w14:paraId="44D1A255" w14:textId="3B872839" w:rsidR="0016475C" w:rsidRPr="007628F9" w:rsidRDefault="0016475C" w:rsidP="0016475C">
            <w:pPr>
              <w:spacing w:after="0" w:line="240" w:lineRule="auto"/>
              <w:contextualSpacing/>
              <w:rPr>
                <w:rFonts w:eastAsia="Times New Roman" w:cstheme="minorHAnsi"/>
                <w:color w:val="000000"/>
                <w:sz w:val="18"/>
                <w:szCs w:val="18"/>
              </w:rPr>
            </w:pPr>
            <w:r>
              <w:rPr>
                <w:rFonts w:cstheme="minorHAnsi"/>
                <w:color w:val="000000"/>
                <w:sz w:val="20"/>
                <w:szCs w:val="20"/>
              </w:rPr>
              <w:t>OceanWise</w:t>
            </w:r>
          </w:p>
        </w:tc>
        <w:tc>
          <w:tcPr>
            <w:tcW w:w="5392" w:type="dxa"/>
            <w:tcBorders>
              <w:top w:val="double" w:sz="4" w:space="0" w:color="0F6FC6" w:themeColor="accent1"/>
            </w:tcBorders>
            <w:shd w:val="clear" w:color="auto" w:fill="auto"/>
            <w:vAlign w:val="bottom"/>
          </w:tcPr>
          <w:p w14:paraId="394D61F5" w14:textId="7968EAEE" w:rsidR="0016475C" w:rsidRPr="007628F9" w:rsidRDefault="0016475C" w:rsidP="0016475C">
            <w:pPr>
              <w:spacing w:after="0" w:line="240" w:lineRule="auto"/>
              <w:contextualSpacing/>
              <w:rPr>
                <w:rFonts w:eastAsia="Times New Roman" w:cstheme="minorHAnsi"/>
                <w:b/>
                <w:color w:val="000000"/>
                <w:sz w:val="18"/>
                <w:szCs w:val="18"/>
              </w:rPr>
            </w:pPr>
            <w:r>
              <w:rPr>
                <w:rFonts w:cstheme="minorHAnsi"/>
                <w:color w:val="000000"/>
                <w:sz w:val="20"/>
                <w:szCs w:val="20"/>
              </w:rPr>
              <w:t xml:space="preserve">Representing MEDIN at PSEG </w:t>
            </w:r>
          </w:p>
        </w:tc>
        <w:tc>
          <w:tcPr>
            <w:tcW w:w="1461" w:type="dxa"/>
            <w:tcBorders>
              <w:top w:val="double" w:sz="4" w:space="0" w:color="0F6FC6" w:themeColor="accent1"/>
            </w:tcBorders>
            <w:shd w:val="clear" w:color="auto" w:fill="auto"/>
            <w:vAlign w:val="center"/>
          </w:tcPr>
          <w:p w14:paraId="68B3CDFE" w14:textId="09CC2653" w:rsidR="0016475C" w:rsidRPr="00DC196E" w:rsidRDefault="0016475C" w:rsidP="0016475C">
            <w:pPr>
              <w:spacing w:after="0" w:line="240" w:lineRule="auto"/>
              <w:contextualSpacing/>
              <w:jc w:val="right"/>
              <w:rPr>
                <w:rFonts w:cstheme="minorHAnsi"/>
                <w:b/>
                <w:color w:val="000000"/>
                <w:sz w:val="18"/>
                <w:szCs w:val="18"/>
              </w:rPr>
            </w:pPr>
            <w:r>
              <w:rPr>
                <w:rFonts w:ascii="Calibri" w:hAnsi="Calibri"/>
                <w:color w:val="000000"/>
                <w:sz w:val="18"/>
                <w:szCs w:val="18"/>
              </w:rPr>
              <w:t>£523</w:t>
            </w:r>
          </w:p>
        </w:tc>
      </w:tr>
      <w:tr w:rsidR="0016475C" w:rsidRPr="007628F9" w14:paraId="289E6B88" w14:textId="77777777" w:rsidTr="00581230">
        <w:trPr>
          <w:trHeight w:val="20"/>
        </w:trPr>
        <w:tc>
          <w:tcPr>
            <w:tcW w:w="3920" w:type="dxa"/>
            <w:shd w:val="clear" w:color="auto" w:fill="auto"/>
            <w:noWrap/>
            <w:vAlign w:val="bottom"/>
          </w:tcPr>
          <w:p w14:paraId="72AE773F" w14:textId="01A3B640" w:rsidR="0016475C" w:rsidRPr="007628F9" w:rsidRDefault="00205CC7" w:rsidP="0016475C">
            <w:pPr>
              <w:spacing w:after="0" w:line="240" w:lineRule="auto"/>
              <w:contextualSpacing/>
              <w:rPr>
                <w:rFonts w:eastAsia="Times New Roman" w:cstheme="minorHAnsi"/>
                <w:color w:val="000000"/>
                <w:sz w:val="18"/>
                <w:szCs w:val="18"/>
              </w:rPr>
            </w:pPr>
            <w:r>
              <w:rPr>
                <w:rFonts w:cstheme="minorHAnsi"/>
                <w:color w:val="000000"/>
                <w:sz w:val="20"/>
                <w:szCs w:val="20"/>
              </w:rPr>
              <w:t>MBA / DASSH</w:t>
            </w:r>
          </w:p>
        </w:tc>
        <w:tc>
          <w:tcPr>
            <w:tcW w:w="5392" w:type="dxa"/>
            <w:shd w:val="clear" w:color="auto" w:fill="auto"/>
            <w:vAlign w:val="bottom"/>
          </w:tcPr>
          <w:p w14:paraId="2A21A13A" w14:textId="48D2D296" w:rsidR="0016475C" w:rsidRPr="007628F9" w:rsidRDefault="0016475C" w:rsidP="0016475C">
            <w:pPr>
              <w:spacing w:after="0" w:line="240" w:lineRule="auto"/>
              <w:contextualSpacing/>
              <w:rPr>
                <w:rFonts w:eastAsia="Times New Roman" w:cstheme="minorHAnsi"/>
                <w:b/>
                <w:color w:val="000000"/>
                <w:sz w:val="18"/>
                <w:szCs w:val="18"/>
              </w:rPr>
            </w:pPr>
            <w:r>
              <w:rPr>
                <w:rFonts w:cstheme="minorHAnsi"/>
                <w:color w:val="000000"/>
                <w:sz w:val="20"/>
                <w:szCs w:val="20"/>
              </w:rPr>
              <w:t>Representing MEDIN at HBDSEG and BioDIG meetings</w:t>
            </w:r>
          </w:p>
        </w:tc>
        <w:tc>
          <w:tcPr>
            <w:tcW w:w="1461" w:type="dxa"/>
            <w:shd w:val="clear" w:color="auto" w:fill="auto"/>
            <w:vAlign w:val="center"/>
          </w:tcPr>
          <w:p w14:paraId="6732F2ED" w14:textId="748DDF9A" w:rsidR="0016475C" w:rsidRPr="00DC196E" w:rsidRDefault="0016475C" w:rsidP="0016475C">
            <w:pPr>
              <w:spacing w:after="0" w:line="240" w:lineRule="auto"/>
              <w:contextualSpacing/>
              <w:jc w:val="right"/>
              <w:rPr>
                <w:rFonts w:cstheme="minorHAnsi"/>
                <w:b/>
                <w:color w:val="000000"/>
                <w:sz w:val="18"/>
                <w:szCs w:val="18"/>
              </w:rPr>
            </w:pPr>
            <w:r>
              <w:rPr>
                <w:rFonts w:ascii="Calibri" w:hAnsi="Calibri"/>
                <w:color w:val="000000"/>
                <w:sz w:val="18"/>
                <w:szCs w:val="18"/>
              </w:rPr>
              <w:t>£6,763</w:t>
            </w:r>
          </w:p>
        </w:tc>
      </w:tr>
      <w:tr w:rsidR="0016475C" w:rsidRPr="007628F9" w14:paraId="3AEE35E9" w14:textId="77777777" w:rsidTr="00581230">
        <w:trPr>
          <w:trHeight w:val="20"/>
        </w:trPr>
        <w:tc>
          <w:tcPr>
            <w:tcW w:w="3920" w:type="dxa"/>
            <w:shd w:val="clear" w:color="auto" w:fill="auto"/>
            <w:noWrap/>
            <w:vAlign w:val="bottom"/>
          </w:tcPr>
          <w:p w14:paraId="608FF66E" w14:textId="5B9AD1E5" w:rsidR="0016475C" w:rsidRPr="007628F9" w:rsidRDefault="0016475C" w:rsidP="0016475C">
            <w:pPr>
              <w:spacing w:after="0" w:line="240" w:lineRule="auto"/>
              <w:contextualSpacing/>
              <w:rPr>
                <w:rFonts w:eastAsia="Times New Roman" w:cstheme="minorHAnsi"/>
                <w:color w:val="000000"/>
                <w:sz w:val="18"/>
                <w:szCs w:val="18"/>
              </w:rPr>
            </w:pPr>
            <w:r>
              <w:rPr>
                <w:rFonts w:cstheme="minorHAnsi"/>
                <w:color w:val="000000"/>
                <w:sz w:val="20"/>
                <w:szCs w:val="20"/>
              </w:rPr>
              <w:t>Professor Peter S. Liss</w:t>
            </w:r>
          </w:p>
        </w:tc>
        <w:tc>
          <w:tcPr>
            <w:tcW w:w="5392" w:type="dxa"/>
            <w:shd w:val="clear" w:color="auto" w:fill="auto"/>
            <w:vAlign w:val="bottom"/>
          </w:tcPr>
          <w:p w14:paraId="0DEDB261" w14:textId="257EA4C9" w:rsidR="0016475C" w:rsidRPr="007628F9" w:rsidRDefault="0016475C" w:rsidP="0016475C">
            <w:pPr>
              <w:spacing w:after="0" w:line="240" w:lineRule="auto"/>
              <w:contextualSpacing/>
              <w:rPr>
                <w:rFonts w:eastAsia="Times New Roman" w:cstheme="minorHAnsi"/>
                <w:b/>
                <w:color w:val="000000"/>
                <w:sz w:val="18"/>
                <w:szCs w:val="18"/>
              </w:rPr>
            </w:pPr>
            <w:r>
              <w:rPr>
                <w:rFonts w:cstheme="minorHAnsi"/>
                <w:color w:val="000000"/>
                <w:sz w:val="20"/>
                <w:szCs w:val="20"/>
              </w:rPr>
              <w:t>Chairing MEDIN, representing MEDIN at MSCC</w:t>
            </w:r>
          </w:p>
        </w:tc>
        <w:tc>
          <w:tcPr>
            <w:tcW w:w="1461" w:type="dxa"/>
            <w:shd w:val="clear" w:color="auto" w:fill="auto"/>
            <w:vAlign w:val="center"/>
          </w:tcPr>
          <w:p w14:paraId="72E0F399" w14:textId="72EAED08" w:rsidR="0016475C" w:rsidRPr="00DC196E" w:rsidRDefault="0016475C" w:rsidP="0016475C">
            <w:pPr>
              <w:spacing w:after="0" w:line="240" w:lineRule="auto"/>
              <w:contextualSpacing/>
              <w:jc w:val="right"/>
              <w:rPr>
                <w:rFonts w:cstheme="minorHAnsi"/>
                <w:b/>
                <w:color w:val="000000"/>
                <w:sz w:val="18"/>
                <w:szCs w:val="18"/>
              </w:rPr>
            </w:pPr>
            <w:r>
              <w:rPr>
                <w:rFonts w:ascii="Calibri" w:hAnsi="Calibri"/>
                <w:color w:val="000000"/>
                <w:sz w:val="18"/>
                <w:szCs w:val="18"/>
              </w:rPr>
              <w:t>£6,720</w:t>
            </w:r>
          </w:p>
        </w:tc>
      </w:tr>
      <w:tr w:rsidR="0016475C" w:rsidRPr="007628F9" w14:paraId="53AF84BC" w14:textId="77777777" w:rsidTr="00581230">
        <w:trPr>
          <w:trHeight w:val="20"/>
        </w:trPr>
        <w:tc>
          <w:tcPr>
            <w:tcW w:w="3920" w:type="dxa"/>
            <w:shd w:val="clear" w:color="auto" w:fill="auto"/>
            <w:noWrap/>
            <w:vAlign w:val="bottom"/>
          </w:tcPr>
          <w:p w14:paraId="5F96F2E6" w14:textId="4D7F2B32" w:rsidR="0016475C" w:rsidRPr="007628F9" w:rsidRDefault="0016475C" w:rsidP="0016475C">
            <w:pPr>
              <w:spacing w:after="0" w:line="240" w:lineRule="auto"/>
              <w:contextualSpacing/>
              <w:rPr>
                <w:rFonts w:eastAsia="Times New Roman" w:cstheme="minorHAnsi"/>
                <w:color w:val="000000"/>
                <w:sz w:val="18"/>
                <w:szCs w:val="18"/>
              </w:rPr>
            </w:pPr>
            <w:r>
              <w:rPr>
                <w:rFonts w:cstheme="minorHAnsi"/>
                <w:i/>
                <w:iCs/>
                <w:color w:val="000000"/>
                <w:sz w:val="20"/>
                <w:szCs w:val="20"/>
              </w:rPr>
              <w:t>Dell</w:t>
            </w:r>
          </w:p>
        </w:tc>
        <w:tc>
          <w:tcPr>
            <w:tcW w:w="5392" w:type="dxa"/>
            <w:shd w:val="clear" w:color="auto" w:fill="auto"/>
            <w:vAlign w:val="bottom"/>
          </w:tcPr>
          <w:p w14:paraId="3CF157CB" w14:textId="480FE7EA" w:rsidR="0016475C" w:rsidRPr="007628F9" w:rsidRDefault="0016475C" w:rsidP="0016475C">
            <w:pPr>
              <w:spacing w:after="0" w:line="240" w:lineRule="auto"/>
              <w:contextualSpacing/>
              <w:rPr>
                <w:rFonts w:eastAsia="Times New Roman" w:cstheme="minorHAnsi"/>
                <w:b/>
                <w:color w:val="000000"/>
                <w:sz w:val="18"/>
                <w:szCs w:val="18"/>
              </w:rPr>
            </w:pPr>
            <w:r>
              <w:rPr>
                <w:rFonts w:cstheme="minorHAnsi"/>
                <w:color w:val="000000"/>
                <w:sz w:val="20"/>
                <w:szCs w:val="20"/>
              </w:rPr>
              <w:t>Laptop for Core Team member</w:t>
            </w:r>
          </w:p>
        </w:tc>
        <w:tc>
          <w:tcPr>
            <w:tcW w:w="1461" w:type="dxa"/>
            <w:shd w:val="clear" w:color="auto" w:fill="auto"/>
            <w:vAlign w:val="center"/>
          </w:tcPr>
          <w:p w14:paraId="11C1D25A" w14:textId="0A60C99B" w:rsidR="0016475C" w:rsidRPr="00DC196E" w:rsidRDefault="0016475C" w:rsidP="0016475C">
            <w:pPr>
              <w:spacing w:after="0" w:line="240" w:lineRule="auto"/>
              <w:contextualSpacing/>
              <w:jc w:val="right"/>
              <w:rPr>
                <w:rFonts w:cstheme="minorHAnsi"/>
                <w:b/>
                <w:color w:val="000000"/>
                <w:sz w:val="18"/>
                <w:szCs w:val="18"/>
              </w:rPr>
            </w:pPr>
            <w:r>
              <w:rPr>
                <w:rFonts w:ascii="Calibri" w:hAnsi="Calibri"/>
                <w:color w:val="000000"/>
                <w:sz w:val="18"/>
                <w:szCs w:val="18"/>
              </w:rPr>
              <w:t>£979</w:t>
            </w:r>
          </w:p>
        </w:tc>
      </w:tr>
      <w:tr w:rsidR="0016475C" w:rsidRPr="007628F9" w14:paraId="2ED55FA6" w14:textId="77777777" w:rsidTr="00581230">
        <w:trPr>
          <w:trHeight w:val="20"/>
        </w:trPr>
        <w:tc>
          <w:tcPr>
            <w:tcW w:w="3920" w:type="dxa"/>
            <w:tcBorders>
              <w:bottom w:val="double" w:sz="4" w:space="0" w:color="0F6FC6" w:themeColor="accent1"/>
            </w:tcBorders>
            <w:shd w:val="clear" w:color="auto" w:fill="auto"/>
            <w:noWrap/>
            <w:vAlign w:val="bottom"/>
          </w:tcPr>
          <w:p w14:paraId="0F84096D" w14:textId="7F35D6E1" w:rsidR="0016475C" w:rsidRPr="007628F9" w:rsidRDefault="0016475C" w:rsidP="0016475C">
            <w:pPr>
              <w:spacing w:after="0" w:line="240" w:lineRule="auto"/>
              <w:contextualSpacing/>
              <w:rPr>
                <w:rFonts w:eastAsia="Times New Roman" w:cstheme="minorHAnsi"/>
                <w:color w:val="000000"/>
                <w:sz w:val="18"/>
                <w:szCs w:val="18"/>
              </w:rPr>
            </w:pPr>
            <w:r>
              <w:rPr>
                <w:rFonts w:cstheme="minorHAnsi"/>
                <w:color w:val="000000"/>
                <w:sz w:val="20"/>
                <w:szCs w:val="20"/>
              </w:rPr>
              <w:t>Bob Earll CMS</w:t>
            </w:r>
          </w:p>
        </w:tc>
        <w:tc>
          <w:tcPr>
            <w:tcW w:w="5392" w:type="dxa"/>
            <w:tcBorders>
              <w:bottom w:val="double" w:sz="4" w:space="0" w:color="0F6FC6" w:themeColor="accent1"/>
            </w:tcBorders>
            <w:shd w:val="clear" w:color="auto" w:fill="auto"/>
            <w:vAlign w:val="bottom"/>
          </w:tcPr>
          <w:p w14:paraId="576A4801" w14:textId="36C9D6F3" w:rsidR="0016475C" w:rsidRPr="007628F9" w:rsidRDefault="0016475C" w:rsidP="0016475C">
            <w:pPr>
              <w:spacing w:after="0" w:line="240" w:lineRule="auto"/>
              <w:contextualSpacing/>
              <w:rPr>
                <w:rFonts w:eastAsia="Times New Roman" w:cstheme="minorHAnsi"/>
                <w:b/>
                <w:color w:val="000000"/>
                <w:sz w:val="18"/>
                <w:szCs w:val="18"/>
              </w:rPr>
            </w:pPr>
            <w:r>
              <w:rPr>
                <w:rFonts w:cstheme="minorHAnsi"/>
                <w:color w:val="000000"/>
                <w:sz w:val="20"/>
                <w:szCs w:val="20"/>
              </w:rPr>
              <w:t xml:space="preserve">Advertise a MEDIN/OECD/GOOS survey </w:t>
            </w:r>
          </w:p>
        </w:tc>
        <w:tc>
          <w:tcPr>
            <w:tcW w:w="1461" w:type="dxa"/>
            <w:tcBorders>
              <w:bottom w:val="double" w:sz="4" w:space="0" w:color="0F6FC6" w:themeColor="accent1"/>
            </w:tcBorders>
            <w:shd w:val="clear" w:color="auto" w:fill="auto"/>
            <w:vAlign w:val="center"/>
          </w:tcPr>
          <w:p w14:paraId="23592B0D" w14:textId="5D08435B" w:rsidR="0016475C" w:rsidRPr="00DC196E" w:rsidRDefault="0016475C" w:rsidP="0016475C">
            <w:pPr>
              <w:spacing w:after="0" w:line="240" w:lineRule="auto"/>
              <w:contextualSpacing/>
              <w:jc w:val="right"/>
              <w:rPr>
                <w:rFonts w:cstheme="minorHAnsi"/>
                <w:b/>
                <w:color w:val="000000"/>
                <w:sz w:val="18"/>
                <w:szCs w:val="18"/>
              </w:rPr>
            </w:pPr>
            <w:r>
              <w:rPr>
                <w:rFonts w:ascii="Calibri" w:hAnsi="Calibri"/>
                <w:color w:val="000000"/>
                <w:sz w:val="18"/>
                <w:szCs w:val="18"/>
              </w:rPr>
              <w:t>£180</w:t>
            </w:r>
          </w:p>
        </w:tc>
      </w:tr>
      <w:tr w:rsidR="0016475C" w:rsidRPr="007628F9" w14:paraId="56F24B97" w14:textId="77777777" w:rsidTr="00581230">
        <w:trPr>
          <w:trHeight w:val="20"/>
        </w:trPr>
        <w:tc>
          <w:tcPr>
            <w:tcW w:w="3920" w:type="dxa"/>
            <w:tcBorders>
              <w:top w:val="double" w:sz="4" w:space="0" w:color="0F6FC6" w:themeColor="accent1"/>
              <w:bottom w:val="double" w:sz="4" w:space="0" w:color="0F6FC6" w:themeColor="accent1"/>
            </w:tcBorders>
            <w:shd w:val="clear" w:color="auto" w:fill="C9F9FC" w:themeFill="accent3" w:themeFillTint="33"/>
            <w:noWrap/>
            <w:vAlign w:val="bottom"/>
          </w:tcPr>
          <w:p w14:paraId="4AC3398C" w14:textId="77777777" w:rsidR="0016475C" w:rsidRPr="007628F9" w:rsidRDefault="0016475C" w:rsidP="0016475C">
            <w:pPr>
              <w:spacing w:after="0" w:line="240" w:lineRule="auto"/>
              <w:contextualSpacing/>
              <w:rPr>
                <w:rFonts w:eastAsia="Times New Roman" w:cstheme="minorHAnsi"/>
                <w:color w:val="000000"/>
                <w:sz w:val="18"/>
                <w:szCs w:val="18"/>
              </w:rPr>
            </w:pPr>
            <w:r w:rsidRPr="007628F9">
              <w:rPr>
                <w:rFonts w:eastAsia="Times New Roman" w:cstheme="minorHAnsi"/>
                <w:color w:val="000000"/>
                <w:sz w:val="18"/>
                <w:szCs w:val="18"/>
              </w:rPr>
              <w:t> </w:t>
            </w:r>
          </w:p>
        </w:tc>
        <w:tc>
          <w:tcPr>
            <w:tcW w:w="5392" w:type="dxa"/>
            <w:tcBorders>
              <w:top w:val="double" w:sz="4" w:space="0" w:color="0F6FC6" w:themeColor="accent1"/>
              <w:bottom w:val="double" w:sz="4" w:space="0" w:color="0F6FC6" w:themeColor="accent1"/>
            </w:tcBorders>
            <w:shd w:val="clear" w:color="auto" w:fill="C9F9FC" w:themeFill="accent3" w:themeFillTint="33"/>
          </w:tcPr>
          <w:p w14:paraId="3E838C52" w14:textId="77777777" w:rsidR="0016475C" w:rsidRPr="007628F9" w:rsidRDefault="0016475C" w:rsidP="0016475C">
            <w:pPr>
              <w:spacing w:after="0" w:line="240" w:lineRule="auto"/>
              <w:contextualSpacing/>
              <w:rPr>
                <w:rFonts w:eastAsia="Times New Roman" w:cstheme="minorHAnsi"/>
                <w:b/>
                <w:color w:val="000000"/>
                <w:sz w:val="18"/>
                <w:szCs w:val="18"/>
              </w:rPr>
            </w:pPr>
            <w:r w:rsidRPr="007628F9">
              <w:rPr>
                <w:rFonts w:eastAsia="Times New Roman" w:cstheme="minorHAnsi"/>
                <w:b/>
                <w:color w:val="000000"/>
                <w:sz w:val="18"/>
                <w:szCs w:val="18"/>
              </w:rPr>
              <w:t> Total WS7 expenditure</w:t>
            </w:r>
          </w:p>
        </w:tc>
        <w:tc>
          <w:tcPr>
            <w:tcW w:w="1461" w:type="dxa"/>
            <w:tcBorders>
              <w:top w:val="double" w:sz="4" w:space="0" w:color="0F6FC6" w:themeColor="accent1"/>
              <w:bottom w:val="double" w:sz="4" w:space="0" w:color="0F6FC6" w:themeColor="accent1"/>
            </w:tcBorders>
            <w:shd w:val="clear" w:color="auto" w:fill="C9F9FC" w:themeFill="accent3" w:themeFillTint="33"/>
            <w:vAlign w:val="center"/>
          </w:tcPr>
          <w:p w14:paraId="57AB052C" w14:textId="053B03F2" w:rsidR="0016475C" w:rsidRPr="00DC196E" w:rsidRDefault="0016475C" w:rsidP="0016475C">
            <w:pPr>
              <w:spacing w:after="0" w:line="240" w:lineRule="auto"/>
              <w:contextualSpacing/>
              <w:jc w:val="right"/>
              <w:rPr>
                <w:rFonts w:cstheme="minorHAnsi"/>
                <w:b/>
                <w:color w:val="000000"/>
                <w:sz w:val="18"/>
                <w:szCs w:val="18"/>
              </w:rPr>
            </w:pPr>
            <w:r>
              <w:rPr>
                <w:rFonts w:ascii="Calibri" w:hAnsi="Calibri"/>
                <w:b/>
                <w:bCs/>
                <w:color w:val="000000"/>
                <w:sz w:val="18"/>
                <w:szCs w:val="18"/>
              </w:rPr>
              <w:t>£15,165</w:t>
            </w:r>
          </w:p>
        </w:tc>
      </w:tr>
    </w:tbl>
    <w:p w14:paraId="714E4872" w14:textId="77777777" w:rsidR="00F60558" w:rsidRDefault="00F60558" w:rsidP="00575D34">
      <w:pPr>
        <w:shd w:val="clear" w:color="auto" w:fill="FFFFFF"/>
        <w:spacing w:after="0" w:line="240" w:lineRule="auto"/>
        <w:rPr>
          <w:rFonts w:ascii="Calibri" w:eastAsia="Times New Roman" w:hAnsi="Calibri" w:cs="Calibri"/>
          <w:color w:val="323130"/>
          <w:lang w:eastAsia="en-GB"/>
        </w:rPr>
      </w:pPr>
    </w:p>
    <w:p w14:paraId="633E269D" w14:textId="77777777" w:rsidR="001E0339" w:rsidRDefault="001E0339">
      <w:pPr>
        <w:rPr>
          <w:rFonts w:ascii="Calibri" w:eastAsia="Times New Roman" w:hAnsi="Calibri" w:cs="Calibri"/>
          <w:color w:val="323130"/>
          <w:lang w:eastAsia="en-GB"/>
        </w:rPr>
      </w:pPr>
      <w:r>
        <w:rPr>
          <w:rFonts w:eastAsia="Times New Roman"/>
          <w:noProof/>
          <w:lang w:eastAsia="en-GB"/>
        </w:rPr>
        <w:drawing>
          <wp:inline distT="0" distB="0" distL="0" distR="0" wp14:anchorId="61A749B0" wp14:editId="69C2D3C1">
            <wp:extent cx="6600825" cy="1885950"/>
            <wp:effectExtent l="0" t="0" r="9525" b="1905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625C2FC6" w14:textId="77777777" w:rsidR="00644AD4" w:rsidRDefault="00644AD4" w:rsidP="00644AD4">
      <w:pPr>
        <w:pStyle w:val="Heading2"/>
        <w:rPr>
          <w:rFonts w:eastAsia="Times New Roman"/>
          <w:lang w:eastAsia="en-GB"/>
        </w:rPr>
      </w:pPr>
      <w:r>
        <w:rPr>
          <w:rFonts w:eastAsia="Times New Roman"/>
          <w:lang w:eastAsia="en-GB"/>
        </w:rPr>
        <w:t>Governing Body</w:t>
      </w:r>
    </w:p>
    <w:p w14:paraId="05A19780" w14:textId="77777777" w:rsidR="008D17AD" w:rsidRDefault="00F33DF8" w:rsidP="00644AD4">
      <w:pPr>
        <w:rPr>
          <w:lang w:eastAsia="en-GB"/>
        </w:rPr>
      </w:pPr>
      <w:r>
        <w:rPr>
          <w:lang w:eastAsia="en-GB"/>
        </w:rPr>
        <w:t>MEDIN was established in 2008 as a collaborative, cross</w:t>
      </w:r>
      <w:r w:rsidR="00A06F67">
        <w:rPr>
          <w:lang w:eastAsia="en-GB"/>
        </w:rPr>
        <w:t>-</w:t>
      </w:r>
      <w:r>
        <w:rPr>
          <w:lang w:eastAsia="en-GB"/>
        </w:rPr>
        <w:t xml:space="preserve">sectoral initiative for public good. </w:t>
      </w:r>
      <w:r w:rsidR="00A06F67">
        <w:rPr>
          <w:lang w:eastAsia="en-GB"/>
        </w:rPr>
        <w:t>Our</w:t>
      </w:r>
      <w:r w:rsidR="00042B63">
        <w:rPr>
          <w:lang w:eastAsia="en-GB"/>
        </w:rPr>
        <w:t xml:space="preserve"> </w:t>
      </w:r>
      <w:r w:rsidR="00644AD4">
        <w:rPr>
          <w:lang w:eastAsia="en-GB"/>
        </w:rPr>
        <w:t>governing body</w:t>
      </w:r>
      <w:r w:rsidR="00042B63">
        <w:rPr>
          <w:lang w:eastAsia="en-GB"/>
        </w:rPr>
        <w:t xml:space="preserve">, </w:t>
      </w:r>
      <w:r w:rsidR="00644AD4">
        <w:rPr>
          <w:lang w:eastAsia="en-GB"/>
        </w:rPr>
        <w:t>the MED</w:t>
      </w:r>
      <w:r w:rsidR="00042B63">
        <w:rPr>
          <w:lang w:eastAsia="en-GB"/>
        </w:rPr>
        <w:t xml:space="preserve">IN </w:t>
      </w:r>
      <w:r w:rsidR="00644AD4">
        <w:rPr>
          <w:lang w:eastAsia="en-GB"/>
        </w:rPr>
        <w:t xml:space="preserve">Sponsors’ Board, </w:t>
      </w:r>
      <w:r w:rsidR="00042B63">
        <w:rPr>
          <w:lang w:eastAsia="en-GB"/>
        </w:rPr>
        <w:t>comprises one member from each funding organisation</w:t>
      </w:r>
      <w:r w:rsidR="001359A0">
        <w:rPr>
          <w:lang w:eastAsia="en-GB"/>
        </w:rPr>
        <w:t xml:space="preserve">, ensuring each funder has the opportunity to influence </w:t>
      </w:r>
      <w:r w:rsidR="008C7F4E">
        <w:rPr>
          <w:lang w:eastAsia="en-GB"/>
        </w:rPr>
        <w:t xml:space="preserve">our national and international work. The Board is responsible for defining </w:t>
      </w:r>
      <w:r w:rsidR="00042B63">
        <w:rPr>
          <w:lang w:eastAsia="en-GB"/>
        </w:rPr>
        <w:t>the strategic direction of MEDIN, approving work programmes and budgets</w:t>
      </w:r>
      <w:r>
        <w:rPr>
          <w:lang w:eastAsia="en-GB"/>
        </w:rPr>
        <w:t xml:space="preserve">. </w:t>
      </w:r>
      <w:r w:rsidR="00A06F67">
        <w:rPr>
          <w:lang w:eastAsia="en-GB"/>
        </w:rPr>
        <w:t>Professor Peter Liss C</w:t>
      </w:r>
      <w:r w:rsidR="006A4BAD">
        <w:rPr>
          <w:lang w:eastAsia="en-GB"/>
        </w:rPr>
        <w:t>B</w:t>
      </w:r>
      <w:r w:rsidR="00A06F67">
        <w:rPr>
          <w:lang w:eastAsia="en-GB"/>
        </w:rPr>
        <w:t>E FRS</w:t>
      </w:r>
      <w:r w:rsidR="008C7F4E">
        <w:rPr>
          <w:lang w:eastAsia="en-GB"/>
        </w:rPr>
        <w:t xml:space="preserve"> chairs the MEDIN Sponsors’ Board, which met twice during </w:t>
      </w:r>
      <w:r w:rsidR="00EB4903">
        <w:rPr>
          <w:lang w:eastAsia="en-GB"/>
        </w:rPr>
        <w:t>2020-21</w:t>
      </w:r>
      <w:r w:rsidR="00A06F67">
        <w:rPr>
          <w:lang w:eastAsia="en-GB"/>
        </w:rPr>
        <w:t>.</w:t>
      </w:r>
    </w:p>
    <w:tbl>
      <w:tblPr>
        <w:tblStyle w:val="TableGrid"/>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4247"/>
      </w:tblGrid>
      <w:tr w:rsidR="008D17AD" w:rsidRPr="00D71476" w14:paraId="1FFCCC01" w14:textId="77777777" w:rsidTr="008D17AD">
        <w:tc>
          <w:tcPr>
            <w:tcW w:w="6521" w:type="dxa"/>
            <w:tcBorders>
              <w:bottom w:val="double" w:sz="4" w:space="0" w:color="089BA2" w:themeColor="accent3" w:themeShade="BF"/>
            </w:tcBorders>
            <w:vAlign w:val="center"/>
          </w:tcPr>
          <w:p w14:paraId="233DB170" w14:textId="77777777" w:rsidR="008D17AD" w:rsidRPr="00D71476" w:rsidRDefault="008D17AD" w:rsidP="00353921">
            <w:pPr>
              <w:rPr>
                <w:sz w:val="18"/>
                <w:szCs w:val="18"/>
                <w:lang w:eastAsia="en-GB"/>
              </w:rPr>
            </w:pPr>
            <w:r w:rsidRPr="00D71476">
              <w:rPr>
                <w:rFonts w:cstheme="minorHAnsi"/>
                <w:b/>
                <w:bCs/>
                <w:sz w:val="18"/>
                <w:szCs w:val="18"/>
              </w:rPr>
              <w:t>Sponsor Name</w:t>
            </w:r>
          </w:p>
        </w:tc>
        <w:tc>
          <w:tcPr>
            <w:tcW w:w="4247" w:type="dxa"/>
            <w:tcBorders>
              <w:bottom w:val="double" w:sz="4" w:space="0" w:color="089BA2" w:themeColor="accent3" w:themeShade="BF"/>
            </w:tcBorders>
            <w:vAlign w:val="center"/>
          </w:tcPr>
          <w:p w14:paraId="10CCE869" w14:textId="77777777" w:rsidR="008D17AD" w:rsidRPr="00D71476" w:rsidRDefault="008D17AD" w:rsidP="00353921">
            <w:pPr>
              <w:jc w:val="right"/>
              <w:rPr>
                <w:sz w:val="18"/>
                <w:szCs w:val="18"/>
                <w:lang w:eastAsia="en-GB"/>
              </w:rPr>
            </w:pPr>
            <w:r>
              <w:rPr>
                <w:rFonts w:cstheme="minorHAnsi"/>
                <w:b/>
                <w:bCs/>
                <w:sz w:val="18"/>
                <w:szCs w:val="18"/>
              </w:rPr>
              <w:t xml:space="preserve">Sponsors’ Board member </w:t>
            </w:r>
            <w:r w:rsidR="00EB4903">
              <w:rPr>
                <w:rFonts w:cstheme="minorHAnsi"/>
                <w:b/>
                <w:bCs/>
                <w:sz w:val="18"/>
                <w:szCs w:val="18"/>
              </w:rPr>
              <w:t>2020-21</w:t>
            </w:r>
          </w:p>
        </w:tc>
      </w:tr>
      <w:tr w:rsidR="008D17AD" w:rsidRPr="00D71476" w14:paraId="32B340DC" w14:textId="77777777" w:rsidTr="008D17AD">
        <w:tc>
          <w:tcPr>
            <w:tcW w:w="6521" w:type="dxa"/>
            <w:tcBorders>
              <w:top w:val="double" w:sz="4" w:space="0" w:color="089BA2" w:themeColor="accent3" w:themeShade="BF"/>
            </w:tcBorders>
            <w:vAlign w:val="center"/>
          </w:tcPr>
          <w:p w14:paraId="402AFD42" w14:textId="77777777" w:rsidR="008D17AD" w:rsidRPr="00D71476" w:rsidRDefault="008D17AD" w:rsidP="00353921">
            <w:pPr>
              <w:rPr>
                <w:sz w:val="18"/>
                <w:szCs w:val="18"/>
                <w:lang w:eastAsia="en-GB"/>
              </w:rPr>
            </w:pPr>
            <w:r w:rsidRPr="00D71476">
              <w:rPr>
                <w:rFonts w:cstheme="minorHAnsi"/>
                <w:sz w:val="18"/>
                <w:szCs w:val="18"/>
              </w:rPr>
              <w:t>DEFRA: Department for Environment Food and Rural Affairs</w:t>
            </w:r>
          </w:p>
        </w:tc>
        <w:tc>
          <w:tcPr>
            <w:tcW w:w="4247" w:type="dxa"/>
            <w:tcBorders>
              <w:top w:val="double" w:sz="4" w:space="0" w:color="089BA2" w:themeColor="accent3" w:themeShade="BF"/>
            </w:tcBorders>
            <w:vAlign w:val="center"/>
          </w:tcPr>
          <w:p w14:paraId="4C429DF9" w14:textId="77777777" w:rsidR="008D17AD" w:rsidRPr="00D71476" w:rsidRDefault="008D17AD" w:rsidP="00353921">
            <w:pPr>
              <w:jc w:val="right"/>
              <w:rPr>
                <w:sz w:val="18"/>
                <w:szCs w:val="18"/>
                <w:lang w:eastAsia="en-GB"/>
              </w:rPr>
            </w:pPr>
            <w:r>
              <w:rPr>
                <w:rFonts w:cstheme="minorHAnsi"/>
                <w:sz w:val="18"/>
                <w:szCs w:val="18"/>
              </w:rPr>
              <w:t>Sofiya Stoyanova</w:t>
            </w:r>
          </w:p>
        </w:tc>
      </w:tr>
      <w:tr w:rsidR="008D17AD" w:rsidRPr="00D71476" w14:paraId="005950CA" w14:textId="77777777" w:rsidTr="008D17AD">
        <w:tc>
          <w:tcPr>
            <w:tcW w:w="6521" w:type="dxa"/>
            <w:vAlign w:val="center"/>
          </w:tcPr>
          <w:p w14:paraId="21CC04E0" w14:textId="081C0BEE" w:rsidR="008D17AD" w:rsidRPr="00D71476" w:rsidRDefault="008D17AD" w:rsidP="00353921">
            <w:pPr>
              <w:rPr>
                <w:sz w:val="18"/>
                <w:szCs w:val="18"/>
                <w:lang w:eastAsia="en-GB"/>
              </w:rPr>
            </w:pPr>
            <w:r w:rsidRPr="00D71476">
              <w:rPr>
                <w:rFonts w:cstheme="minorHAnsi"/>
                <w:sz w:val="18"/>
                <w:szCs w:val="18"/>
              </w:rPr>
              <w:t>N</w:t>
            </w:r>
            <w:r w:rsidR="00BD5F18">
              <w:rPr>
                <w:rFonts w:cstheme="minorHAnsi"/>
                <w:sz w:val="18"/>
                <w:szCs w:val="18"/>
              </w:rPr>
              <w:t>OC</w:t>
            </w:r>
            <w:r w:rsidRPr="00D71476">
              <w:rPr>
                <w:rFonts w:cstheme="minorHAnsi"/>
                <w:sz w:val="18"/>
                <w:szCs w:val="18"/>
              </w:rPr>
              <w:t xml:space="preserve"> / N</w:t>
            </w:r>
            <w:r w:rsidR="00BD5F18">
              <w:rPr>
                <w:rFonts w:cstheme="minorHAnsi"/>
                <w:sz w:val="18"/>
                <w:szCs w:val="18"/>
              </w:rPr>
              <w:t>ERC</w:t>
            </w:r>
            <w:r w:rsidRPr="00D71476">
              <w:rPr>
                <w:rFonts w:cstheme="minorHAnsi"/>
                <w:sz w:val="18"/>
                <w:szCs w:val="18"/>
              </w:rPr>
              <w:t xml:space="preserve">: </w:t>
            </w:r>
            <w:r w:rsidRPr="00D71476">
              <w:rPr>
                <w:sz w:val="18"/>
                <w:szCs w:val="18"/>
              </w:rPr>
              <w:t>National Oceanography Centre</w:t>
            </w:r>
            <w:r w:rsidR="00BD5F18">
              <w:rPr>
                <w:sz w:val="18"/>
                <w:szCs w:val="18"/>
              </w:rPr>
              <w:t xml:space="preserve">/ </w:t>
            </w:r>
            <w:r w:rsidR="00BD5F18" w:rsidRPr="00D71476">
              <w:rPr>
                <w:rFonts w:cstheme="minorHAnsi"/>
                <w:sz w:val="18"/>
                <w:szCs w:val="18"/>
              </w:rPr>
              <w:t xml:space="preserve">Natural Environment Research Council </w:t>
            </w:r>
          </w:p>
        </w:tc>
        <w:tc>
          <w:tcPr>
            <w:tcW w:w="4247" w:type="dxa"/>
            <w:vAlign w:val="center"/>
          </w:tcPr>
          <w:p w14:paraId="2AE3CDC2" w14:textId="6B434493" w:rsidR="008D17AD" w:rsidRPr="00D71476" w:rsidRDefault="00DE6D4C" w:rsidP="00353921">
            <w:pPr>
              <w:jc w:val="right"/>
              <w:rPr>
                <w:sz w:val="18"/>
                <w:szCs w:val="18"/>
                <w:lang w:eastAsia="en-GB"/>
              </w:rPr>
            </w:pPr>
            <w:r>
              <w:rPr>
                <w:rFonts w:cstheme="minorHAnsi"/>
                <w:sz w:val="18"/>
                <w:szCs w:val="18"/>
              </w:rPr>
              <w:t xml:space="preserve">Dr. </w:t>
            </w:r>
            <w:r w:rsidR="000D03C1">
              <w:rPr>
                <w:rFonts w:cstheme="minorHAnsi"/>
                <w:sz w:val="18"/>
                <w:szCs w:val="18"/>
              </w:rPr>
              <w:t>Robin McCandliss</w:t>
            </w:r>
          </w:p>
        </w:tc>
      </w:tr>
      <w:tr w:rsidR="008D17AD" w:rsidRPr="00D71476" w14:paraId="7528B515" w14:textId="77777777" w:rsidTr="008D17AD">
        <w:tc>
          <w:tcPr>
            <w:tcW w:w="6521" w:type="dxa"/>
            <w:vAlign w:val="center"/>
          </w:tcPr>
          <w:p w14:paraId="7D7D0988" w14:textId="77777777" w:rsidR="008D17AD" w:rsidRPr="00D71476" w:rsidRDefault="008D17AD" w:rsidP="00353921">
            <w:pPr>
              <w:rPr>
                <w:sz w:val="18"/>
                <w:szCs w:val="18"/>
                <w:lang w:eastAsia="en-GB"/>
              </w:rPr>
            </w:pPr>
            <w:r w:rsidRPr="00D71476">
              <w:rPr>
                <w:rFonts w:cstheme="minorHAnsi"/>
                <w:sz w:val="18"/>
                <w:szCs w:val="18"/>
              </w:rPr>
              <w:t>Scottish Government</w:t>
            </w:r>
          </w:p>
        </w:tc>
        <w:tc>
          <w:tcPr>
            <w:tcW w:w="4247" w:type="dxa"/>
            <w:vAlign w:val="center"/>
          </w:tcPr>
          <w:p w14:paraId="40E3906E" w14:textId="77777777" w:rsidR="008D17AD" w:rsidRPr="00D71476" w:rsidRDefault="008D17AD" w:rsidP="00353921">
            <w:pPr>
              <w:jc w:val="right"/>
              <w:rPr>
                <w:sz w:val="18"/>
                <w:szCs w:val="18"/>
                <w:lang w:eastAsia="en-GB"/>
              </w:rPr>
            </w:pPr>
            <w:r>
              <w:rPr>
                <w:rFonts w:cstheme="minorHAnsi"/>
                <w:sz w:val="18"/>
                <w:szCs w:val="18"/>
              </w:rPr>
              <w:t>Dr. Jens Rasmussen</w:t>
            </w:r>
          </w:p>
        </w:tc>
      </w:tr>
      <w:tr w:rsidR="008D17AD" w:rsidRPr="00D71476" w14:paraId="464D49B6" w14:textId="77777777" w:rsidTr="008D17AD">
        <w:tc>
          <w:tcPr>
            <w:tcW w:w="6521" w:type="dxa"/>
            <w:vAlign w:val="center"/>
          </w:tcPr>
          <w:p w14:paraId="35B7E0C3" w14:textId="77777777" w:rsidR="008D17AD" w:rsidRPr="00D71476" w:rsidRDefault="008D17AD" w:rsidP="00353921">
            <w:pPr>
              <w:rPr>
                <w:sz w:val="18"/>
                <w:szCs w:val="18"/>
                <w:lang w:eastAsia="en-GB"/>
              </w:rPr>
            </w:pPr>
            <w:r w:rsidRPr="00D71476">
              <w:rPr>
                <w:rFonts w:cstheme="minorHAnsi"/>
                <w:sz w:val="18"/>
                <w:szCs w:val="18"/>
              </w:rPr>
              <w:t>BEIS: Department of Business, Energy and Industrial Strategy</w:t>
            </w:r>
          </w:p>
        </w:tc>
        <w:tc>
          <w:tcPr>
            <w:tcW w:w="4247" w:type="dxa"/>
            <w:vAlign w:val="center"/>
          </w:tcPr>
          <w:p w14:paraId="6A3675AC" w14:textId="77777777" w:rsidR="008D17AD" w:rsidRPr="00D71476" w:rsidRDefault="008D17AD" w:rsidP="00353921">
            <w:pPr>
              <w:jc w:val="right"/>
              <w:rPr>
                <w:sz w:val="18"/>
                <w:szCs w:val="18"/>
                <w:lang w:eastAsia="en-GB"/>
              </w:rPr>
            </w:pPr>
            <w:r>
              <w:rPr>
                <w:rFonts w:cstheme="minorHAnsi"/>
                <w:sz w:val="18"/>
                <w:szCs w:val="18"/>
              </w:rPr>
              <w:t>Saravanan Marappan</w:t>
            </w:r>
          </w:p>
        </w:tc>
      </w:tr>
      <w:tr w:rsidR="008D17AD" w:rsidRPr="00D71476" w14:paraId="44CD9783" w14:textId="77777777" w:rsidTr="008D17AD">
        <w:tc>
          <w:tcPr>
            <w:tcW w:w="6521" w:type="dxa"/>
            <w:vAlign w:val="center"/>
          </w:tcPr>
          <w:p w14:paraId="1E11991F" w14:textId="77777777" w:rsidR="008D17AD" w:rsidRPr="00D71476" w:rsidRDefault="004E5E1C" w:rsidP="00353921">
            <w:pPr>
              <w:rPr>
                <w:sz w:val="18"/>
                <w:szCs w:val="18"/>
                <w:lang w:eastAsia="en-GB"/>
              </w:rPr>
            </w:pPr>
            <w:r>
              <w:rPr>
                <w:rFonts w:cstheme="minorHAnsi"/>
                <w:sz w:val="18"/>
                <w:szCs w:val="18"/>
              </w:rPr>
              <w:t xml:space="preserve">UKHO: </w:t>
            </w:r>
            <w:r w:rsidR="008D17AD" w:rsidRPr="00D71476">
              <w:rPr>
                <w:rFonts w:cstheme="minorHAnsi"/>
                <w:sz w:val="18"/>
                <w:szCs w:val="18"/>
              </w:rPr>
              <w:t>UK Hydrographic Office</w:t>
            </w:r>
          </w:p>
        </w:tc>
        <w:tc>
          <w:tcPr>
            <w:tcW w:w="4247" w:type="dxa"/>
            <w:vAlign w:val="center"/>
          </w:tcPr>
          <w:p w14:paraId="242BF11C" w14:textId="77777777" w:rsidR="008D17AD" w:rsidRPr="00D71476" w:rsidRDefault="008D17AD" w:rsidP="00353921">
            <w:pPr>
              <w:jc w:val="right"/>
              <w:rPr>
                <w:sz w:val="18"/>
                <w:szCs w:val="18"/>
                <w:lang w:eastAsia="en-GB"/>
              </w:rPr>
            </w:pPr>
            <w:r>
              <w:rPr>
                <w:rFonts w:cstheme="minorHAnsi"/>
                <w:sz w:val="18"/>
                <w:szCs w:val="18"/>
              </w:rPr>
              <w:t>James Carey</w:t>
            </w:r>
          </w:p>
        </w:tc>
      </w:tr>
      <w:tr w:rsidR="008D17AD" w:rsidRPr="00D71476" w14:paraId="4D3E4C9A" w14:textId="77777777" w:rsidTr="008D17AD">
        <w:tc>
          <w:tcPr>
            <w:tcW w:w="6521" w:type="dxa"/>
            <w:vAlign w:val="center"/>
          </w:tcPr>
          <w:p w14:paraId="1E3A5C5A" w14:textId="77777777" w:rsidR="008D17AD" w:rsidRPr="00D71476" w:rsidRDefault="008D17AD" w:rsidP="00353921">
            <w:pPr>
              <w:rPr>
                <w:sz w:val="18"/>
                <w:szCs w:val="18"/>
                <w:lang w:eastAsia="en-GB"/>
              </w:rPr>
            </w:pPr>
            <w:r w:rsidRPr="00D71476">
              <w:rPr>
                <w:rFonts w:cstheme="minorHAnsi"/>
                <w:sz w:val="18"/>
                <w:szCs w:val="18"/>
              </w:rPr>
              <w:t>Cyfoeth Naturiol Cymru / Natural Resources Wales</w:t>
            </w:r>
          </w:p>
        </w:tc>
        <w:tc>
          <w:tcPr>
            <w:tcW w:w="4247" w:type="dxa"/>
            <w:vAlign w:val="center"/>
          </w:tcPr>
          <w:p w14:paraId="3FF5A16B" w14:textId="77777777" w:rsidR="008D17AD" w:rsidRPr="00D71476" w:rsidRDefault="008D17AD" w:rsidP="00353921">
            <w:pPr>
              <w:jc w:val="right"/>
              <w:rPr>
                <w:sz w:val="18"/>
                <w:szCs w:val="18"/>
                <w:lang w:eastAsia="en-GB"/>
              </w:rPr>
            </w:pPr>
            <w:r>
              <w:rPr>
                <w:sz w:val="18"/>
                <w:szCs w:val="18"/>
                <w:lang w:eastAsia="en-GB"/>
              </w:rPr>
              <w:t>Helen Wilkins</w:t>
            </w:r>
            <w:r w:rsidR="00B43F53">
              <w:rPr>
                <w:sz w:val="18"/>
                <w:szCs w:val="18"/>
                <w:lang w:eastAsia="en-GB"/>
              </w:rPr>
              <w:t>o</w:t>
            </w:r>
            <w:r>
              <w:rPr>
                <w:sz w:val="18"/>
                <w:szCs w:val="18"/>
                <w:lang w:eastAsia="en-GB"/>
              </w:rPr>
              <w:t>n</w:t>
            </w:r>
          </w:p>
        </w:tc>
      </w:tr>
      <w:tr w:rsidR="008D17AD" w:rsidRPr="00D71476" w14:paraId="35296673" w14:textId="77777777" w:rsidTr="008D17AD">
        <w:tc>
          <w:tcPr>
            <w:tcW w:w="6521" w:type="dxa"/>
            <w:vAlign w:val="center"/>
          </w:tcPr>
          <w:p w14:paraId="6A0D9BC4" w14:textId="77777777" w:rsidR="008D17AD" w:rsidRPr="00D71476" w:rsidRDefault="008D17AD" w:rsidP="00353921">
            <w:pPr>
              <w:rPr>
                <w:sz w:val="18"/>
                <w:szCs w:val="18"/>
                <w:lang w:eastAsia="en-GB"/>
              </w:rPr>
            </w:pPr>
            <w:r w:rsidRPr="00D71476">
              <w:rPr>
                <w:rFonts w:cstheme="minorHAnsi"/>
                <w:sz w:val="18"/>
                <w:szCs w:val="18"/>
              </w:rPr>
              <w:t>Met. Office</w:t>
            </w:r>
          </w:p>
        </w:tc>
        <w:tc>
          <w:tcPr>
            <w:tcW w:w="4247" w:type="dxa"/>
            <w:vAlign w:val="center"/>
          </w:tcPr>
          <w:p w14:paraId="271D96A8" w14:textId="77777777" w:rsidR="008D17AD" w:rsidRPr="00D71476" w:rsidRDefault="008D17AD" w:rsidP="00353921">
            <w:pPr>
              <w:jc w:val="right"/>
              <w:rPr>
                <w:sz w:val="18"/>
                <w:szCs w:val="18"/>
                <w:lang w:eastAsia="en-GB"/>
              </w:rPr>
            </w:pPr>
            <w:r>
              <w:rPr>
                <w:rFonts w:cstheme="minorHAnsi"/>
                <w:sz w:val="18"/>
                <w:szCs w:val="18"/>
              </w:rPr>
              <w:t>Jon Turton</w:t>
            </w:r>
          </w:p>
        </w:tc>
      </w:tr>
      <w:tr w:rsidR="008D17AD" w:rsidRPr="00D71476" w14:paraId="0C90D9A3" w14:textId="77777777" w:rsidTr="008D17AD">
        <w:tc>
          <w:tcPr>
            <w:tcW w:w="6521" w:type="dxa"/>
            <w:vAlign w:val="center"/>
          </w:tcPr>
          <w:p w14:paraId="104C2531" w14:textId="77777777" w:rsidR="008D17AD" w:rsidRPr="00D71476" w:rsidRDefault="008D17AD" w:rsidP="00353921">
            <w:pPr>
              <w:rPr>
                <w:sz w:val="18"/>
                <w:szCs w:val="18"/>
                <w:lang w:eastAsia="en-GB"/>
              </w:rPr>
            </w:pPr>
            <w:r w:rsidRPr="00D71476">
              <w:rPr>
                <w:rFonts w:cstheme="minorHAnsi"/>
                <w:sz w:val="18"/>
                <w:szCs w:val="18"/>
              </w:rPr>
              <w:t>The Crown Estate</w:t>
            </w:r>
          </w:p>
        </w:tc>
        <w:tc>
          <w:tcPr>
            <w:tcW w:w="4247" w:type="dxa"/>
            <w:vAlign w:val="center"/>
          </w:tcPr>
          <w:p w14:paraId="543B935B" w14:textId="77777777" w:rsidR="008D17AD" w:rsidRPr="00D71476" w:rsidRDefault="008D17AD" w:rsidP="00353921">
            <w:pPr>
              <w:jc w:val="right"/>
              <w:rPr>
                <w:sz w:val="18"/>
                <w:szCs w:val="18"/>
                <w:lang w:eastAsia="en-GB"/>
              </w:rPr>
            </w:pPr>
            <w:r>
              <w:rPr>
                <w:rFonts w:cstheme="minorHAnsi"/>
                <w:sz w:val="18"/>
                <w:szCs w:val="18"/>
              </w:rPr>
              <w:t>Chelsea Bradbury</w:t>
            </w:r>
          </w:p>
        </w:tc>
      </w:tr>
      <w:tr w:rsidR="008D17AD" w:rsidRPr="00D71476" w14:paraId="21C87351" w14:textId="77777777" w:rsidTr="008D17AD">
        <w:tc>
          <w:tcPr>
            <w:tcW w:w="6521" w:type="dxa"/>
            <w:vAlign w:val="center"/>
          </w:tcPr>
          <w:p w14:paraId="2BF9F1F2" w14:textId="77777777" w:rsidR="008D17AD" w:rsidRPr="00D71476" w:rsidRDefault="008D17AD" w:rsidP="00353921">
            <w:pPr>
              <w:rPr>
                <w:sz w:val="18"/>
                <w:szCs w:val="18"/>
                <w:lang w:eastAsia="en-GB"/>
              </w:rPr>
            </w:pPr>
            <w:r w:rsidRPr="00D71476">
              <w:rPr>
                <w:rFonts w:cstheme="minorHAnsi"/>
                <w:sz w:val="18"/>
                <w:szCs w:val="18"/>
              </w:rPr>
              <w:t>Maritime and Coastguard Agency</w:t>
            </w:r>
          </w:p>
        </w:tc>
        <w:tc>
          <w:tcPr>
            <w:tcW w:w="4247" w:type="dxa"/>
            <w:vAlign w:val="center"/>
          </w:tcPr>
          <w:p w14:paraId="2EC39F71" w14:textId="77777777" w:rsidR="008D17AD" w:rsidRPr="00D71476" w:rsidRDefault="008D17AD" w:rsidP="00353921">
            <w:pPr>
              <w:jc w:val="right"/>
              <w:rPr>
                <w:sz w:val="18"/>
                <w:szCs w:val="18"/>
                <w:lang w:eastAsia="en-GB"/>
              </w:rPr>
            </w:pPr>
            <w:r>
              <w:rPr>
                <w:sz w:val="18"/>
                <w:szCs w:val="18"/>
                <w:lang w:eastAsia="en-GB"/>
              </w:rPr>
              <w:t>Paula English</w:t>
            </w:r>
          </w:p>
        </w:tc>
      </w:tr>
      <w:tr w:rsidR="008D17AD" w:rsidRPr="00D71476" w14:paraId="14F29EB9" w14:textId="77777777" w:rsidTr="008D17AD">
        <w:tc>
          <w:tcPr>
            <w:tcW w:w="6521" w:type="dxa"/>
            <w:vAlign w:val="center"/>
          </w:tcPr>
          <w:p w14:paraId="35C34ECF" w14:textId="77777777" w:rsidR="008D17AD" w:rsidRPr="00D71476" w:rsidRDefault="00363A6B" w:rsidP="00353921">
            <w:pPr>
              <w:rPr>
                <w:sz w:val="18"/>
                <w:szCs w:val="18"/>
                <w:lang w:eastAsia="en-GB"/>
              </w:rPr>
            </w:pPr>
            <w:r>
              <w:rPr>
                <w:rFonts w:cstheme="minorHAnsi"/>
                <w:sz w:val="18"/>
                <w:szCs w:val="18"/>
              </w:rPr>
              <w:t xml:space="preserve">JNCC: </w:t>
            </w:r>
            <w:r w:rsidR="008D17AD" w:rsidRPr="00D71476">
              <w:rPr>
                <w:rFonts w:cstheme="minorHAnsi"/>
                <w:sz w:val="18"/>
                <w:szCs w:val="18"/>
              </w:rPr>
              <w:t>Joint Nature Conservation Committee</w:t>
            </w:r>
          </w:p>
        </w:tc>
        <w:tc>
          <w:tcPr>
            <w:tcW w:w="4247" w:type="dxa"/>
            <w:vAlign w:val="center"/>
          </w:tcPr>
          <w:p w14:paraId="20B32DD9" w14:textId="77777777" w:rsidR="008D17AD" w:rsidRPr="00D71476" w:rsidRDefault="008D17AD" w:rsidP="00353921">
            <w:pPr>
              <w:jc w:val="right"/>
              <w:rPr>
                <w:sz w:val="18"/>
                <w:szCs w:val="18"/>
                <w:lang w:eastAsia="en-GB"/>
              </w:rPr>
            </w:pPr>
            <w:r>
              <w:rPr>
                <w:rFonts w:cstheme="minorHAnsi"/>
                <w:sz w:val="18"/>
                <w:szCs w:val="18"/>
              </w:rPr>
              <w:t>Elly Hill</w:t>
            </w:r>
          </w:p>
        </w:tc>
      </w:tr>
      <w:tr w:rsidR="008D17AD" w:rsidRPr="00D71476" w14:paraId="06E8DE71" w14:textId="77777777" w:rsidTr="008D17AD">
        <w:tc>
          <w:tcPr>
            <w:tcW w:w="6521" w:type="dxa"/>
            <w:vAlign w:val="center"/>
          </w:tcPr>
          <w:p w14:paraId="3ABFDE39" w14:textId="77777777" w:rsidR="008D17AD" w:rsidRPr="00D71476" w:rsidRDefault="008D17AD" w:rsidP="00353921">
            <w:pPr>
              <w:rPr>
                <w:sz w:val="18"/>
                <w:szCs w:val="18"/>
                <w:lang w:eastAsia="en-GB"/>
              </w:rPr>
            </w:pPr>
            <w:r w:rsidRPr="00D71476">
              <w:rPr>
                <w:rFonts w:cstheme="minorHAnsi"/>
                <w:sz w:val="18"/>
                <w:szCs w:val="18"/>
              </w:rPr>
              <w:t>OceanWise</w:t>
            </w:r>
          </w:p>
        </w:tc>
        <w:tc>
          <w:tcPr>
            <w:tcW w:w="4247" w:type="dxa"/>
            <w:vAlign w:val="center"/>
          </w:tcPr>
          <w:p w14:paraId="6DBD0154" w14:textId="77777777" w:rsidR="008D17AD" w:rsidRPr="00D71476" w:rsidRDefault="008D17AD" w:rsidP="00353921">
            <w:pPr>
              <w:jc w:val="right"/>
              <w:rPr>
                <w:sz w:val="18"/>
                <w:szCs w:val="18"/>
                <w:lang w:eastAsia="en-GB"/>
              </w:rPr>
            </w:pPr>
            <w:r>
              <w:rPr>
                <w:sz w:val="18"/>
                <w:szCs w:val="18"/>
                <w:lang w:eastAsia="en-GB"/>
              </w:rPr>
              <w:t>John Pepper</w:t>
            </w:r>
          </w:p>
        </w:tc>
      </w:tr>
      <w:tr w:rsidR="008D17AD" w:rsidRPr="00D71476" w14:paraId="3D672E80" w14:textId="77777777" w:rsidTr="008D17AD">
        <w:tc>
          <w:tcPr>
            <w:tcW w:w="6521" w:type="dxa"/>
            <w:vAlign w:val="center"/>
          </w:tcPr>
          <w:p w14:paraId="2EAA5052" w14:textId="77777777" w:rsidR="008D17AD" w:rsidRPr="00D71476" w:rsidRDefault="008D17AD" w:rsidP="00353921">
            <w:pPr>
              <w:rPr>
                <w:sz w:val="18"/>
                <w:szCs w:val="18"/>
                <w:lang w:eastAsia="en-GB"/>
              </w:rPr>
            </w:pPr>
            <w:r w:rsidRPr="00D71476">
              <w:rPr>
                <w:rFonts w:cstheme="minorHAnsi"/>
                <w:sz w:val="18"/>
                <w:szCs w:val="18"/>
              </w:rPr>
              <w:t>DAERA: Department of Agriculture, Environment and Rural Affairs, Northern Ireland</w:t>
            </w:r>
          </w:p>
        </w:tc>
        <w:tc>
          <w:tcPr>
            <w:tcW w:w="4247" w:type="dxa"/>
            <w:vAlign w:val="center"/>
          </w:tcPr>
          <w:p w14:paraId="56D82744" w14:textId="77777777" w:rsidR="008D17AD" w:rsidRPr="00D71476" w:rsidRDefault="008D17AD" w:rsidP="00353921">
            <w:pPr>
              <w:jc w:val="right"/>
              <w:rPr>
                <w:sz w:val="18"/>
                <w:szCs w:val="18"/>
                <w:lang w:eastAsia="en-GB"/>
              </w:rPr>
            </w:pPr>
            <w:r>
              <w:rPr>
                <w:rFonts w:cstheme="minorHAnsi"/>
                <w:sz w:val="18"/>
                <w:szCs w:val="18"/>
              </w:rPr>
              <w:t>Colin Armstrong</w:t>
            </w:r>
          </w:p>
        </w:tc>
      </w:tr>
      <w:tr w:rsidR="008D17AD" w:rsidRPr="00D71476" w14:paraId="1A916C42" w14:textId="77777777" w:rsidTr="008D17AD">
        <w:tc>
          <w:tcPr>
            <w:tcW w:w="6521" w:type="dxa"/>
            <w:vAlign w:val="center"/>
          </w:tcPr>
          <w:p w14:paraId="3A6FB353" w14:textId="77777777" w:rsidR="008D17AD" w:rsidRPr="00D71476" w:rsidRDefault="008D17AD" w:rsidP="00353921">
            <w:pPr>
              <w:rPr>
                <w:sz w:val="18"/>
                <w:szCs w:val="18"/>
                <w:lang w:eastAsia="en-GB"/>
              </w:rPr>
            </w:pPr>
            <w:r w:rsidRPr="00D71476">
              <w:rPr>
                <w:rFonts w:cstheme="minorHAnsi"/>
                <w:sz w:val="18"/>
                <w:szCs w:val="18"/>
              </w:rPr>
              <w:t>AFBI: Agri-Food and Biosciences Institute</w:t>
            </w:r>
          </w:p>
        </w:tc>
        <w:tc>
          <w:tcPr>
            <w:tcW w:w="4247" w:type="dxa"/>
            <w:vAlign w:val="center"/>
          </w:tcPr>
          <w:p w14:paraId="6A3F5449" w14:textId="77777777" w:rsidR="008D17AD" w:rsidRPr="00D71476" w:rsidRDefault="008D17AD" w:rsidP="00353921">
            <w:pPr>
              <w:jc w:val="right"/>
              <w:rPr>
                <w:sz w:val="18"/>
                <w:szCs w:val="18"/>
                <w:lang w:eastAsia="en-GB"/>
              </w:rPr>
            </w:pPr>
            <w:r>
              <w:rPr>
                <w:rFonts w:cstheme="minorHAnsi"/>
                <w:sz w:val="18"/>
                <w:szCs w:val="18"/>
              </w:rPr>
              <w:t>Dr. Matt Service</w:t>
            </w:r>
          </w:p>
        </w:tc>
      </w:tr>
      <w:tr w:rsidR="008D17AD" w:rsidRPr="00D71476" w14:paraId="6A00A44C" w14:textId="77777777" w:rsidTr="008D17AD">
        <w:tc>
          <w:tcPr>
            <w:tcW w:w="6521" w:type="dxa"/>
            <w:tcBorders>
              <w:bottom w:val="double" w:sz="4" w:space="0" w:color="0075A2" w:themeColor="accent2" w:themeShade="BF"/>
            </w:tcBorders>
            <w:vAlign w:val="center"/>
          </w:tcPr>
          <w:p w14:paraId="57F2DD7E" w14:textId="77777777" w:rsidR="008D17AD" w:rsidRPr="00D71476" w:rsidRDefault="008D17AD" w:rsidP="00353921">
            <w:pPr>
              <w:rPr>
                <w:sz w:val="18"/>
                <w:szCs w:val="18"/>
                <w:lang w:eastAsia="en-GB"/>
              </w:rPr>
            </w:pPr>
            <w:r w:rsidRPr="00D71476">
              <w:rPr>
                <w:rFonts w:cstheme="minorHAnsi"/>
                <w:sz w:val="18"/>
                <w:szCs w:val="18"/>
              </w:rPr>
              <w:t>Welsh Government</w:t>
            </w:r>
          </w:p>
        </w:tc>
        <w:tc>
          <w:tcPr>
            <w:tcW w:w="4247" w:type="dxa"/>
            <w:tcBorders>
              <w:bottom w:val="double" w:sz="4" w:space="0" w:color="0075A2" w:themeColor="accent2" w:themeShade="BF"/>
            </w:tcBorders>
            <w:vAlign w:val="center"/>
          </w:tcPr>
          <w:p w14:paraId="1B28097C" w14:textId="77777777" w:rsidR="008D17AD" w:rsidRPr="00D71476" w:rsidRDefault="008D17AD" w:rsidP="00353921">
            <w:pPr>
              <w:jc w:val="right"/>
              <w:rPr>
                <w:sz w:val="18"/>
                <w:szCs w:val="18"/>
                <w:lang w:eastAsia="en-GB"/>
              </w:rPr>
            </w:pPr>
            <w:r>
              <w:rPr>
                <w:rFonts w:cstheme="minorHAnsi"/>
                <w:sz w:val="18"/>
                <w:szCs w:val="18"/>
              </w:rPr>
              <w:t>Shelley Vince</w:t>
            </w:r>
          </w:p>
        </w:tc>
      </w:tr>
      <w:tr w:rsidR="008D17AD" w:rsidRPr="00116667" w14:paraId="2ED1ECDC" w14:textId="77777777" w:rsidTr="008D17AD">
        <w:tc>
          <w:tcPr>
            <w:tcW w:w="6521" w:type="dxa"/>
            <w:tcBorders>
              <w:top w:val="double" w:sz="4" w:space="0" w:color="0075A2" w:themeColor="accent2" w:themeShade="BF"/>
              <w:bottom w:val="double" w:sz="4" w:space="0" w:color="0075A2" w:themeColor="accent2" w:themeShade="BF"/>
            </w:tcBorders>
            <w:shd w:val="clear" w:color="auto" w:fill="C9F9FC" w:themeFill="accent3" w:themeFillTint="33"/>
            <w:vAlign w:val="center"/>
          </w:tcPr>
          <w:p w14:paraId="35ABF80A" w14:textId="77777777" w:rsidR="008D17AD" w:rsidRPr="00D71476" w:rsidRDefault="00872A23" w:rsidP="00353921">
            <w:pPr>
              <w:rPr>
                <w:rFonts w:cstheme="minorHAnsi"/>
                <w:sz w:val="18"/>
                <w:szCs w:val="18"/>
              </w:rPr>
            </w:pPr>
            <w:r>
              <w:rPr>
                <w:rFonts w:cstheme="minorHAnsi"/>
                <w:b/>
                <w:bCs/>
                <w:color w:val="000000"/>
                <w:sz w:val="18"/>
                <w:szCs w:val="18"/>
              </w:rPr>
              <w:t>Chair</w:t>
            </w:r>
          </w:p>
        </w:tc>
        <w:tc>
          <w:tcPr>
            <w:tcW w:w="4247" w:type="dxa"/>
            <w:tcBorders>
              <w:top w:val="double" w:sz="4" w:space="0" w:color="0075A2" w:themeColor="accent2" w:themeShade="BF"/>
              <w:bottom w:val="double" w:sz="4" w:space="0" w:color="0075A2" w:themeColor="accent2" w:themeShade="BF"/>
            </w:tcBorders>
            <w:shd w:val="clear" w:color="auto" w:fill="C9F9FC" w:themeFill="accent3" w:themeFillTint="33"/>
            <w:vAlign w:val="center"/>
          </w:tcPr>
          <w:p w14:paraId="215757D9" w14:textId="77777777" w:rsidR="008D17AD" w:rsidRPr="00116667" w:rsidRDefault="00872A23" w:rsidP="00353921">
            <w:pPr>
              <w:jc w:val="right"/>
              <w:rPr>
                <w:rFonts w:cstheme="minorHAnsi"/>
                <w:b/>
                <w:sz w:val="18"/>
                <w:szCs w:val="18"/>
              </w:rPr>
            </w:pPr>
            <w:r w:rsidRPr="00116667">
              <w:rPr>
                <w:rFonts w:cstheme="minorHAnsi"/>
                <w:b/>
                <w:sz w:val="18"/>
                <w:szCs w:val="18"/>
              </w:rPr>
              <w:t>Professor Peter Liss CBE FRS</w:t>
            </w:r>
          </w:p>
        </w:tc>
      </w:tr>
    </w:tbl>
    <w:p w14:paraId="46788345" w14:textId="77777777" w:rsidR="00116667" w:rsidRDefault="00116667" w:rsidP="00644AD4">
      <w:pPr>
        <w:rPr>
          <w:lang w:eastAsia="en-GB"/>
        </w:rPr>
      </w:pPr>
    </w:p>
    <w:p w14:paraId="1850D59F" w14:textId="77777777" w:rsidR="00116667" w:rsidRDefault="00116667" w:rsidP="00116667">
      <w:pPr>
        <w:pStyle w:val="Heading2"/>
        <w:rPr>
          <w:lang w:eastAsia="en-GB"/>
        </w:rPr>
      </w:pPr>
      <w:r>
        <w:rPr>
          <w:lang w:eastAsia="en-GB"/>
        </w:rPr>
        <w:t>Operational Groups</w:t>
      </w:r>
    </w:p>
    <w:p w14:paraId="701FE949" w14:textId="21F18F60" w:rsidR="00363A6B" w:rsidRDefault="001D6E95" w:rsidP="001D6E95">
      <w:pPr>
        <w:rPr>
          <w:lang w:eastAsia="en-GB"/>
        </w:rPr>
      </w:pPr>
      <w:r>
        <w:rPr>
          <w:lang w:eastAsia="en-GB"/>
        </w:rPr>
        <w:t xml:space="preserve">Our Board is supported by an Executive Team, </w:t>
      </w:r>
      <w:r w:rsidR="001C5F5E">
        <w:rPr>
          <w:lang w:eastAsia="en-GB"/>
        </w:rPr>
        <w:t xml:space="preserve">which </w:t>
      </w:r>
      <w:r>
        <w:rPr>
          <w:lang w:eastAsia="en-GB"/>
        </w:rPr>
        <w:t>provides interim guidance and management of our</w:t>
      </w:r>
      <w:r w:rsidR="00363A6B">
        <w:rPr>
          <w:lang w:eastAsia="en-GB"/>
        </w:rPr>
        <w:t xml:space="preserve"> operational work</w:t>
      </w:r>
      <w:r>
        <w:rPr>
          <w:lang w:eastAsia="en-GB"/>
        </w:rPr>
        <w:t xml:space="preserve"> programme </w:t>
      </w:r>
      <w:r w:rsidR="00363A6B">
        <w:rPr>
          <w:lang w:eastAsia="en-GB"/>
        </w:rPr>
        <w:t>between Sponsors’ Board meetings. The Executive Team is made up of four sponsor members (DEFRA, NOC</w:t>
      </w:r>
      <w:r w:rsidR="00DE6D4C">
        <w:rPr>
          <w:lang w:eastAsia="en-GB"/>
        </w:rPr>
        <w:t>/NERC</w:t>
      </w:r>
      <w:r w:rsidR="00363A6B">
        <w:rPr>
          <w:lang w:eastAsia="en-GB"/>
        </w:rPr>
        <w:t>, Scottish Government and a fourth member, currently UKHO, as voted by the Sponsors’ Board</w:t>
      </w:r>
      <w:r w:rsidR="001C5F5E">
        <w:rPr>
          <w:lang w:eastAsia="en-GB"/>
        </w:rPr>
        <w:t xml:space="preserve">), </w:t>
      </w:r>
      <w:r w:rsidR="00363A6B">
        <w:rPr>
          <w:lang w:eastAsia="en-GB"/>
        </w:rPr>
        <w:t xml:space="preserve">three subject experts (the chairs of the MEDIN Working Groups) and the MEDIN work stream </w:t>
      </w:r>
      <w:r w:rsidR="000C1F3C">
        <w:rPr>
          <w:lang w:eastAsia="en-GB"/>
        </w:rPr>
        <w:t>managers</w:t>
      </w:r>
      <w:r w:rsidR="00363A6B">
        <w:rPr>
          <w:lang w:eastAsia="en-GB"/>
        </w:rPr>
        <w:t>.</w:t>
      </w:r>
      <w:r w:rsidR="00296075">
        <w:rPr>
          <w:lang w:eastAsia="en-GB"/>
        </w:rPr>
        <w:t xml:space="preserve"> Our Executive team met four times in </w:t>
      </w:r>
      <w:r w:rsidR="00EB4903">
        <w:rPr>
          <w:lang w:eastAsia="en-GB"/>
        </w:rPr>
        <w:t>2020-21</w:t>
      </w:r>
      <w:r w:rsidR="00296075">
        <w:rPr>
          <w:lang w:eastAsia="en-GB"/>
        </w:rPr>
        <w:t>.</w:t>
      </w: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2544"/>
        <w:gridCol w:w="2244"/>
        <w:gridCol w:w="2394"/>
      </w:tblGrid>
      <w:tr w:rsidR="00363A6B" w:rsidRPr="00D71476" w14:paraId="658629E8" w14:textId="77777777" w:rsidTr="006A1D4D">
        <w:tc>
          <w:tcPr>
            <w:tcW w:w="3402" w:type="dxa"/>
            <w:tcBorders>
              <w:bottom w:val="double" w:sz="4" w:space="0" w:color="089BA2" w:themeColor="accent3" w:themeShade="BF"/>
            </w:tcBorders>
            <w:vAlign w:val="center"/>
          </w:tcPr>
          <w:p w14:paraId="13457C06" w14:textId="77777777" w:rsidR="00363A6B" w:rsidRPr="00D71476" w:rsidRDefault="004E5E1C" w:rsidP="00363A6B">
            <w:pPr>
              <w:rPr>
                <w:sz w:val="18"/>
                <w:szCs w:val="18"/>
                <w:lang w:eastAsia="en-GB"/>
              </w:rPr>
            </w:pPr>
            <w:r>
              <w:rPr>
                <w:rFonts w:cstheme="minorHAnsi"/>
                <w:b/>
                <w:bCs/>
                <w:sz w:val="18"/>
                <w:szCs w:val="18"/>
              </w:rPr>
              <w:t>Executive Team member</w:t>
            </w:r>
          </w:p>
        </w:tc>
        <w:tc>
          <w:tcPr>
            <w:tcW w:w="2410" w:type="dxa"/>
            <w:tcBorders>
              <w:bottom w:val="double" w:sz="4" w:space="0" w:color="089BA2" w:themeColor="accent3" w:themeShade="BF"/>
            </w:tcBorders>
            <w:vAlign w:val="center"/>
          </w:tcPr>
          <w:p w14:paraId="6BB3B83C" w14:textId="77777777" w:rsidR="00363A6B" w:rsidRPr="00D71476" w:rsidRDefault="004E5E1C" w:rsidP="00363A6B">
            <w:pPr>
              <w:jc w:val="right"/>
              <w:rPr>
                <w:sz w:val="18"/>
                <w:szCs w:val="18"/>
                <w:lang w:eastAsia="en-GB"/>
              </w:rPr>
            </w:pPr>
            <w:r>
              <w:rPr>
                <w:sz w:val="18"/>
                <w:szCs w:val="18"/>
                <w:lang w:eastAsia="en-GB"/>
              </w:rPr>
              <w:t>Sponsor/Expert member</w:t>
            </w:r>
          </w:p>
        </w:tc>
        <w:tc>
          <w:tcPr>
            <w:tcW w:w="2126" w:type="dxa"/>
            <w:tcBorders>
              <w:bottom w:val="double" w:sz="4" w:space="0" w:color="089BA2" w:themeColor="accent3" w:themeShade="BF"/>
            </w:tcBorders>
            <w:vAlign w:val="center"/>
          </w:tcPr>
          <w:p w14:paraId="68AFCFA1" w14:textId="77777777" w:rsidR="00363A6B" w:rsidRDefault="00E129AB" w:rsidP="00E129AB">
            <w:pPr>
              <w:rPr>
                <w:rFonts w:cstheme="minorHAnsi"/>
                <w:b/>
                <w:bCs/>
                <w:sz w:val="18"/>
                <w:szCs w:val="18"/>
              </w:rPr>
            </w:pPr>
            <w:r>
              <w:rPr>
                <w:rFonts w:cstheme="minorHAnsi"/>
                <w:b/>
                <w:bCs/>
                <w:sz w:val="18"/>
                <w:szCs w:val="18"/>
              </w:rPr>
              <w:t>Executive Team member</w:t>
            </w:r>
          </w:p>
        </w:tc>
        <w:tc>
          <w:tcPr>
            <w:tcW w:w="2268" w:type="dxa"/>
            <w:tcBorders>
              <w:bottom w:val="double" w:sz="4" w:space="0" w:color="089BA2" w:themeColor="accent3" w:themeShade="BF"/>
            </w:tcBorders>
            <w:vAlign w:val="center"/>
          </w:tcPr>
          <w:p w14:paraId="3BBD3AD1" w14:textId="77777777" w:rsidR="00363A6B" w:rsidRDefault="004E5E1C" w:rsidP="00363A6B">
            <w:pPr>
              <w:jc w:val="right"/>
              <w:rPr>
                <w:rFonts w:cstheme="minorHAnsi"/>
                <w:b/>
                <w:bCs/>
                <w:sz w:val="18"/>
                <w:szCs w:val="18"/>
              </w:rPr>
            </w:pPr>
            <w:r>
              <w:rPr>
                <w:rFonts w:cstheme="minorHAnsi"/>
                <w:b/>
                <w:bCs/>
                <w:sz w:val="18"/>
                <w:szCs w:val="18"/>
              </w:rPr>
              <w:t>MEDIN work stream member</w:t>
            </w:r>
          </w:p>
        </w:tc>
      </w:tr>
      <w:tr w:rsidR="004E5E1C" w:rsidRPr="00D71476" w14:paraId="3D5BD140" w14:textId="77777777" w:rsidTr="006A1D4D">
        <w:tc>
          <w:tcPr>
            <w:tcW w:w="3402" w:type="dxa"/>
            <w:tcBorders>
              <w:top w:val="double" w:sz="4" w:space="0" w:color="089BA2" w:themeColor="accent3" w:themeShade="BF"/>
            </w:tcBorders>
            <w:vAlign w:val="center"/>
          </w:tcPr>
          <w:p w14:paraId="67029C25" w14:textId="77777777" w:rsidR="004E5E1C" w:rsidRPr="00D71476" w:rsidRDefault="004E5E1C" w:rsidP="004E5E1C">
            <w:pPr>
              <w:rPr>
                <w:sz w:val="18"/>
                <w:szCs w:val="18"/>
                <w:lang w:eastAsia="en-GB"/>
              </w:rPr>
            </w:pPr>
            <w:r>
              <w:rPr>
                <w:rFonts w:cstheme="minorHAnsi"/>
                <w:sz w:val="18"/>
                <w:szCs w:val="18"/>
              </w:rPr>
              <w:t>Sofiya Stoyanova</w:t>
            </w:r>
            <w:r w:rsidRPr="00D71476">
              <w:rPr>
                <w:rFonts w:cstheme="minorHAnsi"/>
                <w:sz w:val="18"/>
                <w:szCs w:val="18"/>
              </w:rPr>
              <w:t xml:space="preserve"> </w:t>
            </w:r>
            <w:r>
              <w:rPr>
                <w:rFonts w:cstheme="minorHAnsi"/>
                <w:sz w:val="18"/>
                <w:szCs w:val="18"/>
              </w:rPr>
              <w:t>(</w:t>
            </w:r>
            <w:r w:rsidRPr="00D71476">
              <w:rPr>
                <w:rFonts w:cstheme="minorHAnsi"/>
                <w:sz w:val="18"/>
                <w:szCs w:val="18"/>
              </w:rPr>
              <w:t>DEFRA</w:t>
            </w:r>
            <w:r>
              <w:rPr>
                <w:rFonts w:cstheme="minorHAnsi"/>
                <w:sz w:val="18"/>
                <w:szCs w:val="18"/>
              </w:rPr>
              <w:t>)</w:t>
            </w:r>
            <w:r w:rsidRPr="00D71476">
              <w:rPr>
                <w:rFonts w:cstheme="minorHAnsi"/>
                <w:sz w:val="18"/>
                <w:szCs w:val="18"/>
              </w:rPr>
              <w:t xml:space="preserve"> </w:t>
            </w:r>
          </w:p>
        </w:tc>
        <w:tc>
          <w:tcPr>
            <w:tcW w:w="2410" w:type="dxa"/>
            <w:tcBorders>
              <w:top w:val="double" w:sz="4" w:space="0" w:color="089BA2" w:themeColor="accent3" w:themeShade="BF"/>
            </w:tcBorders>
            <w:vAlign w:val="center"/>
          </w:tcPr>
          <w:p w14:paraId="6A2D22BD" w14:textId="77777777" w:rsidR="004E5E1C" w:rsidRPr="00D71476" w:rsidRDefault="004E5E1C" w:rsidP="004E5E1C">
            <w:pPr>
              <w:jc w:val="right"/>
              <w:rPr>
                <w:sz w:val="18"/>
                <w:szCs w:val="18"/>
                <w:lang w:eastAsia="en-GB"/>
              </w:rPr>
            </w:pPr>
            <w:r>
              <w:rPr>
                <w:sz w:val="18"/>
                <w:szCs w:val="18"/>
                <w:lang w:eastAsia="en-GB"/>
              </w:rPr>
              <w:t>Sponsor member since 2019</w:t>
            </w:r>
          </w:p>
        </w:tc>
        <w:tc>
          <w:tcPr>
            <w:tcW w:w="2126" w:type="dxa"/>
            <w:tcBorders>
              <w:top w:val="double" w:sz="4" w:space="0" w:color="089BA2" w:themeColor="accent3" w:themeShade="BF"/>
            </w:tcBorders>
          </w:tcPr>
          <w:p w14:paraId="609A8AB2" w14:textId="77777777" w:rsidR="004E5E1C" w:rsidRPr="004E5E1C" w:rsidRDefault="004E5E1C" w:rsidP="00E129AB">
            <w:pPr>
              <w:rPr>
                <w:rFonts w:cstheme="minorHAnsi"/>
                <w:sz w:val="18"/>
                <w:szCs w:val="18"/>
              </w:rPr>
            </w:pPr>
            <w:r w:rsidRPr="004E5E1C">
              <w:rPr>
                <w:rFonts w:cstheme="minorHAnsi"/>
                <w:sz w:val="18"/>
                <w:szCs w:val="18"/>
              </w:rPr>
              <w:t xml:space="preserve">Dr. Clare Postlethwaite </w:t>
            </w:r>
          </w:p>
        </w:tc>
        <w:tc>
          <w:tcPr>
            <w:tcW w:w="2268" w:type="dxa"/>
            <w:tcBorders>
              <w:top w:val="double" w:sz="4" w:space="0" w:color="089BA2" w:themeColor="accent3" w:themeShade="BF"/>
            </w:tcBorders>
          </w:tcPr>
          <w:p w14:paraId="23C7A6EE" w14:textId="77777777" w:rsidR="004E5E1C" w:rsidRDefault="00AD0D88" w:rsidP="00AD0D88">
            <w:pPr>
              <w:jc w:val="right"/>
              <w:rPr>
                <w:rFonts w:cstheme="minorHAnsi"/>
                <w:sz w:val="18"/>
                <w:szCs w:val="18"/>
              </w:rPr>
            </w:pPr>
            <w:r>
              <w:rPr>
                <w:rFonts w:cstheme="minorHAnsi"/>
                <w:sz w:val="18"/>
                <w:szCs w:val="18"/>
              </w:rPr>
              <w:t>S</w:t>
            </w:r>
            <w:r w:rsidR="004E5E1C">
              <w:rPr>
                <w:rFonts w:cstheme="minorHAnsi"/>
                <w:sz w:val="18"/>
                <w:szCs w:val="18"/>
              </w:rPr>
              <w:t>ince 2012</w:t>
            </w:r>
          </w:p>
        </w:tc>
      </w:tr>
      <w:tr w:rsidR="004E5E1C" w:rsidRPr="00D71476" w14:paraId="218C899A" w14:textId="77777777" w:rsidTr="006A1D4D">
        <w:tc>
          <w:tcPr>
            <w:tcW w:w="3402" w:type="dxa"/>
            <w:vAlign w:val="center"/>
          </w:tcPr>
          <w:p w14:paraId="06776775" w14:textId="2919E4BB" w:rsidR="004E5E1C" w:rsidRPr="00D71476" w:rsidRDefault="00DE6D4C" w:rsidP="004E5E1C">
            <w:pPr>
              <w:rPr>
                <w:sz w:val="18"/>
                <w:szCs w:val="18"/>
                <w:lang w:eastAsia="en-GB"/>
              </w:rPr>
            </w:pPr>
            <w:r w:rsidRPr="004E5E1C">
              <w:rPr>
                <w:rFonts w:cstheme="minorHAnsi"/>
                <w:sz w:val="18"/>
                <w:szCs w:val="18"/>
              </w:rPr>
              <w:t xml:space="preserve">Dr. Robin McCandliss </w:t>
            </w:r>
            <w:r w:rsidR="004E5E1C">
              <w:rPr>
                <w:rFonts w:cstheme="minorHAnsi"/>
                <w:sz w:val="18"/>
                <w:szCs w:val="18"/>
              </w:rPr>
              <w:t>(</w:t>
            </w:r>
            <w:r w:rsidR="004E5E1C" w:rsidRPr="00D71476">
              <w:rPr>
                <w:rFonts w:cstheme="minorHAnsi"/>
                <w:sz w:val="18"/>
                <w:szCs w:val="18"/>
              </w:rPr>
              <w:t>NOC</w:t>
            </w:r>
            <w:r w:rsidR="008B4442">
              <w:rPr>
                <w:rFonts w:cstheme="minorHAnsi"/>
                <w:sz w:val="18"/>
                <w:szCs w:val="18"/>
              </w:rPr>
              <w:t>/NERC</w:t>
            </w:r>
            <w:r w:rsidR="004E5E1C">
              <w:rPr>
                <w:rFonts w:cstheme="minorHAnsi"/>
                <w:sz w:val="18"/>
                <w:szCs w:val="18"/>
              </w:rPr>
              <w:t>)</w:t>
            </w:r>
            <w:r w:rsidR="004E5E1C" w:rsidRPr="00D71476">
              <w:rPr>
                <w:rFonts w:cstheme="minorHAnsi"/>
                <w:sz w:val="18"/>
                <w:szCs w:val="18"/>
              </w:rPr>
              <w:t xml:space="preserve"> </w:t>
            </w:r>
          </w:p>
        </w:tc>
        <w:tc>
          <w:tcPr>
            <w:tcW w:w="2410" w:type="dxa"/>
            <w:vAlign w:val="center"/>
          </w:tcPr>
          <w:p w14:paraId="2DC8B9DD" w14:textId="62E35C6E" w:rsidR="004E5E1C" w:rsidRPr="00D71476" w:rsidRDefault="004E5E1C" w:rsidP="004E5E1C">
            <w:pPr>
              <w:jc w:val="right"/>
              <w:rPr>
                <w:sz w:val="18"/>
                <w:szCs w:val="18"/>
                <w:lang w:eastAsia="en-GB"/>
              </w:rPr>
            </w:pPr>
            <w:r>
              <w:rPr>
                <w:sz w:val="18"/>
                <w:szCs w:val="18"/>
                <w:lang w:eastAsia="en-GB"/>
              </w:rPr>
              <w:t>Sponsor member since</w:t>
            </w:r>
            <w:r w:rsidR="00CD3D5C">
              <w:rPr>
                <w:sz w:val="18"/>
                <w:szCs w:val="18"/>
                <w:lang w:eastAsia="en-GB"/>
              </w:rPr>
              <w:t xml:space="preserve"> </w:t>
            </w:r>
            <w:r w:rsidR="00DE6D4C">
              <w:rPr>
                <w:sz w:val="18"/>
                <w:szCs w:val="18"/>
                <w:lang w:eastAsia="en-GB"/>
              </w:rPr>
              <w:t>2020</w:t>
            </w:r>
            <w:r>
              <w:rPr>
                <w:sz w:val="18"/>
                <w:szCs w:val="18"/>
                <w:lang w:eastAsia="en-GB"/>
              </w:rPr>
              <w:t xml:space="preserve"> </w:t>
            </w:r>
          </w:p>
        </w:tc>
        <w:tc>
          <w:tcPr>
            <w:tcW w:w="2126" w:type="dxa"/>
          </w:tcPr>
          <w:p w14:paraId="088F1C45" w14:textId="77777777" w:rsidR="004E5E1C" w:rsidRPr="004E5E1C" w:rsidRDefault="004E5E1C" w:rsidP="00E129AB">
            <w:pPr>
              <w:rPr>
                <w:rFonts w:cstheme="minorHAnsi"/>
                <w:sz w:val="18"/>
                <w:szCs w:val="18"/>
              </w:rPr>
            </w:pPr>
            <w:r w:rsidRPr="004E5E1C">
              <w:rPr>
                <w:rFonts w:cstheme="minorHAnsi"/>
                <w:sz w:val="18"/>
                <w:szCs w:val="18"/>
              </w:rPr>
              <w:t xml:space="preserve">Dr. Robin McCandliss </w:t>
            </w:r>
          </w:p>
        </w:tc>
        <w:tc>
          <w:tcPr>
            <w:tcW w:w="2268" w:type="dxa"/>
          </w:tcPr>
          <w:p w14:paraId="753C3364" w14:textId="530B0871" w:rsidR="004E5E1C" w:rsidRDefault="00E3229D" w:rsidP="00AD0D88">
            <w:pPr>
              <w:jc w:val="right"/>
              <w:rPr>
                <w:rFonts w:cstheme="minorHAnsi"/>
                <w:sz w:val="18"/>
                <w:szCs w:val="18"/>
              </w:rPr>
            </w:pPr>
            <w:r>
              <w:rPr>
                <w:rFonts w:cstheme="minorHAnsi"/>
                <w:sz w:val="18"/>
                <w:szCs w:val="18"/>
              </w:rPr>
              <w:t>Since</w:t>
            </w:r>
            <w:r w:rsidR="00720186">
              <w:rPr>
                <w:rFonts w:cstheme="minorHAnsi"/>
                <w:sz w:val="18"/>
                <w:szCs w:val="18"/>
              </w:rPr>
              <w:t xml:space="preserve"> 2017</w:t>
            </w:r>
          </w:p>
        </w:tc>
      </w:tr>
      <w:tr w:rsidR="004E5E1C" w:rsidRPr="00D71476" w14:paraId="73D4C554" w14:textId="77777777" w:rsidTr="006A1D4D">
        <w:tc>
          <w:tcPr>
            <w:tcW w:w="3402" w:type="dxa"/>
            <w:vAlign w:val="center"/>
          </w:tcPr>
          <w:p w14:paraId="27879F9B" w14:textId="77777777" w:rsidR="004E5E1C" w:rsidRPr="00D71476" w:rsidRDefault="004E5E1C" w:rsidP="004E5E1C">
            <w:pPr>
              <w:rPr>
                <w:sz w:val="18"/>
                <w:szCs w:val="18"/>
                <w:lang w:eastAsia="en-GB"/>
              </w:rPr>
            </w:pPr>
            <w:r>
              <w:rPr>
                <w:rFonts w:cstheme="minorHAnsi"/>
                <w:sz w:val="18"/>
                <w:szCs w:val="18"/>
              </w:rPr>
              <w:t>Dr. Jens Rasmussen</w:t>
            </w:r>
            <w:r w:rsidRPr="00D71476">
              <w:rPr>
                <w:rFonts w:cstheme="minorHAnsi"/>
                <w:sz w:val="18"/>
                <w:szCs w:val="18"/>
              </w:rPr>
              <w:t xml:space="preserve"> </w:t>
            </w:r>
            <w:r>
              <w:rPr>
                <w:rFonts w:cstheme="minorHAnsi"/>
                <w:sz w:val="18"/>
                <w:szCs w:val="18"/>
              </w:rPr>
              <w:t>(</w:t>
            </w:r>
            <w:r w:rsidRPr="00D71476">
              <w:rPr>
                <w:rFonts w:cstheme="minorHAnsi"/>
                <w:sz w:val="18"/>
                <w:szCs w:val="18"/>
              </w:rPr>
              <w:t>Scottish Government</w:t>
            </w:r>
            <w:r>
              <w:rPr>
                <w:rFonts w:cstheme="minorHAnsi"/>
                <w:sz w:val="18"/>
                <w:szCs w:val="18"/>
              </w:rPr>
              <w:t>)</w:t>
            </w:r>
          </w:p>
        </w:tc>
        <w:tc>
          <w:tcPr>
            <w:tcW w:w="2410" w:type="dxa"/>
            <w:vAlign w:val="center"/>
          </w:tcPr>
          <w:p w14:paraId="1902BBCD" w14:textId="77777777" w:rsidR="004E5E1C" w:rsidRPr="00D71476" w:rsidRDefault="004E5E1C" w:rsidP="004E5E1C">
            <w:pPr>
              <w:jc w:val="right"/>
              <w:rPr>
                <w:sz w:val="18"/>
                <w:szCs w:val="18"/>
                <w:lang w:eastAsia="en-GB"/>
              </w:rPr>
            </w:pPr>
            <w:r>
              <w:rPr>
                <w:sz w:val="18"/>
                <w:szCs w:val="18"/>
                <w:lang w:eastAsia="en-GB"/>
              </w:rPr>
              <w:t>Sponsor member since 2019</w:t>
            </w:r>
          </w:p>
        </w:tc>
        <w:tc>
          <w:tcPr>
            <w:tcW w:w="2126" w:type="dxa"/>
          </w:tcPr>
          <w:p w14:paraId="18EB6DAF" w14:textId="77777777" w:rsidR="004E5E1C" w:rsidRPr="004E5E1C" w:rsidRDefault="004E5E1C" w:rsidP="00E129AB">
            <w:pPr>
              <w:rPr>
                <w:rFonts w:cstheme="minorHAnsi"/>
                <w:sz w:val="18"/>
                <w:szCs w:val="18"/>
              </w:rPr>
            </w:pPr>
            <w:r w:rsidRPr="004E5E1C">
              <w:rPr>
                <w:rFonts w:cstheme="minorHAnsi"/>
                <w:sz w:val="18"/>
                <w:szCs w:val="18"/>
              </w:rPr>
              <w:t xml:space="preserve">Dr. Sean Gaffney </w:t>
            </w:r>
          </w:p>
        </w:tc>
        <w:tc>
          <w:tcPr>
            <w:tcW w:w="2268" w:type="dxa"/>
          </w:tcPr>
          <w:p w14:paraId="1ADB8D9F" w14:textId="77777777" w:rsidR="004E5E1C" w:rsidRDefault="000C1F3C" w:rsidP="00AD0D88">
            <w:pPr>
              <w:jc w:val="right"/>
              <w:rPr>
                <w:rFonts w:cstheme="minorHAnsi"/>
                <w:sz w:val="18"/>
                <w:szCs w:val="18"/>
              </w:rPr>
            </w:pPr>
            <w:r>
              <w:rPr>
                <w:rFonts w:cstheme="minorHAnsi"/>
                <w:sz w:val="18"/>
                <w:szCs w:val="18"/>
              </w:rPr>
              <w:t>Since 2014</w:t>
            </w:r>
          </w:p>
        </w:tc>
      </w:tr>
      <w:tr w:rsidR="004E5E1C" w:rsidRPr="00D71476" w14:paraId="3EB71F99" w14:textId="77777777" w:rsidTr="006A1D4D">
        <w:tc>
          <w:tcPr>
            <w:tcW w:w="3402" w:type="dxa"/>
            <w:vAlign w:val="center"/>
          </w:tcPr>
          <w:p w14:paraId="44A32D0A" w14:textId="77777777" w:rsidR="004E5E1C" w:rsidRPr="00D71476" w:rsidRDefault="004E5E1C" w:rsidP="004E5E1C">
            <w:pPr>
              <w:rPr>
                <w:sz w:val="18"/>
                <w:szCs w:val="18"/>
                <w:lang w:eastAsia="en-GB"/>
              </w:rPr>
            </w:pPr>
            <w:r>
              <w:rPr>
                <w:rFonts w:cstheme="minorHAnsi"/>
                <w:sz w:val="18"/>
                <w:szCs w:val="18"/>
              </w:rPr>
              <w:t>James Cooke</w:t>
            </w:r>
            <w:r w:rsidRPr="00D71476">
              <w:rPr>
                <w:rFonts w:cstheme="minorHAnsi"/>
                <w:sz w:val="18"/>
                <w:szCs w:val="18"/>
              </w:rPr>
              <w:t xml:space="preserve"> </w:t>
            </w:r>
            <w:r>
              <w:rPr>
                <w:rFonts w:cstheme="minorHAnsi"/>
                <w:sz w:val="18"/>
                <w:szCs w:val="18"/>
              </w:rPr>
              <w:t>(</w:t>
            </w:r>
            <w:r w:rsidRPr="00D71476">
              <w:rPr>
                <w:rFonts w:cstheme="minorHAnsi"/>
                <w:sz w:val="18"/>
                <w:szCs w:val="18"/>
              </w:rPr>
              <w:t>UK</w:t>
            </w:r>
            <w:r>
              <w:rPr>
                <w:rFonts w:cstheme="minorHAnsi"/>
                <w:sz w:val="18"/>
                <w:szCs w:val="18"/>
              </w:rPr>
              <w:t>HO)</w:t>
            </w:r>
          </w:p>
        </w:tc>
        <w:tc>
          <w:tcPr>
            <w:tcW w:w="2410" w:type="dxa"/>
            <w:vAlign w:val="center"/>
          </w:tcPr>
          <w:p w14:paraId="4303A67C" w14:textId="77777777" w:rsidR="004E5E1C" w:rsidRPr="00D71476" w:rsidRDefault="004E5E1C" w:rsidP="004E5E1C">
            <w:pPr>
              <w:jc w:val="right"/>
              <w:rPr>
                <w:sz w:val="18"/>
                <w:szCs w:val="18"/>
                <w:lang w:eastAsia="en-GB"/>
              </w:rPr>
            </w:pPr>
            <w:r>
              <w:rPr>
                <w:sz w:val="18"/>
                <w:szCs w:val="18"/>
                <w:lang w:eastAsia="en-GB"/>
              </w:rPr>
              <w:t>Sponsor member since</w:t>
            </w:r>
            <w:r w:rsidR="00CD3D5C">
              <w:rPr>
                <w:sz w:val="18"/>
                <w:szCs w:val="18"/>
                <w:lang w:eastAsia="en-GB"/>
              </w:rPr>
              <w:t xml:space="preserve"> 2017</w:t>
            </w:r>
          </w:p>
        </w:tc>
        <w:tc>
          <w:tcPr>
            <w:tcW w:w="2126" w:type="dxa"/>
          </w:tcPr>
          <w:p w14:paraId="7E16B251" w14:textId="77777777" w:rsidR="004E5E1C" w:rsidRPr="004E5E1C" w:rsidRDefault="004E5E1C" w:rsidP="00E129AB">
            <w:pPr>
              <w:rPr>
                <w:rFonts w:cstheme="minorHAnsi"/>
                <w:sz w:val="18"/>
                <w:szCs w:val="18"/>
              </w:rPr>
            </w:pPr>
            <w:r w:rsidRPr="004E5E1C">
              <w:rPr>
                <w:rFonts w:cstheme="minorHAnsi"/>
                <w:sz w:val="18"/>
                <w:szCs w:val="18"/>
              </w:rPr>
              <w:t xml:space="preserve">Dr. Gaynor Evans </w:t>
            </w:r>
          </w:p>
        </w:tc>
        <w:tc>
          <w:tcPr>
            <w:tcW w:w="2268" w:type="dxa"/>
          </w:tcPr>
          <w:p w14:paraId="47C3D45F" w14:textId="77777777" w:rsidR="004E5E1C" w:rsidRDefault="00CD3D5C" w:rsidP="00AD0D88">
            <w:pPr>
              <w:jc w:val="right"/>
              <w:rPr>
                <w:rFonts w:cstheme="minorHAnsi"/>
                <w:sz w:val="18"/>
                <w:szCs w:val="18"/>
              </w:rPr>
            </w:pPr>
            <w:r>
              <w:rPr>
                <w:rFonts w:cstheme="minorHAnsi"/>
                <w:sz w:val="18"/>
                <w:szCs w:val="18"/>
              </w:rPr>
              <w:t>Since 2008</w:t>
            </w:r>
          </w:p>
        </w:tc>
      </w:tr>
      <w:tr w:rsidR="004E5E1C" w:rsidRPr="00D71476" w14:paraId="735BBDD9" w14:textId="77777777" w:rsidTr="006A1D4D">
        <w:tc>
          <w:tcPr>
            <w:tcW w:w="3402" w:type="dxa"/>
            <w:vAlign w:val="center"/>
          </w:tcPr>
          <w:p w14:paraId="1243F751" w14:textId="77777777" w:rsidR="004E5E1C" w:rsidRPr="00D71476" w:rsidRDefault="004E5E1C" w:rsidP="004E5E1C">
            <w:pPr>
              <w:rPr>
                <w:sz w:val="18"/>
                <w:szCs w:val="18"/>
                <w:lang w:eastAsia="en-GB"/>
              </w:rPr>
            </w:pPr>
            <w:r>
              <w:rPr>
                <w:sz w:val="18"/>
                <w:szCs w:val="18"/>
                <w:lang w:eastAsia="en-GB"/>
              </w:rPr>
              <w:t>Jon Parr (MBA)</w:t>
            </w:r>
          </w:p>
        </w:tc>
        <w:tc>
          <w:tcPr>
            <w:tcW w:w="2410" w:type="dxa"/>
            <w:vAlign w:val="center"/>
          </w:tcPr>
          <w:p w14:paraId="5473A3E2" w14:textId="0D3776FB" w:rsidR="004E5E1C" w:rsidRPr="00D71476" w:rsidRDefault="004E5E1C" w:rsidP="004E5E1C">
            <w:pPr>
              <w:jc w:val="right"/>
              <w:rPr>
                <w:sz w:val="18"/>
                <w:szCs w:val="18"/>
                <w:lang w:eastAsia="en-GB"/>
              </w:rPr>
            </w:pPr>
            <w:r>
              <w:rPr>
                <w:sz w:val="18"/>
                <w:szCs w:val="18"/>
                <w:lang w:eastAsia="en-GB"/>
              </w:rPr>
              <w:t>Expert member 2008</w:t>
            </w:r>
            <w:r w:rsidR="00E3229D">
              <w:rPr>
                <w:sz w:val="18"/>
                <w:szCs w:val="18"/>
                <w:lang w:eastAsia="en-GB"/>
              </w:rPr>
              <w:t>-2020</w:t>
            </w:r>
          </w:p>
        </w:tc>
        <w:tc>
          <w:tcPr>
            <w:tcW w:w="2126" w:type="dxa"/>
          </w:tcPr>
          <w:p w14:paraId="7362FD8C" w14:textId="77777777" w:rsidR="004E5E1C" w:rsidRPr="004E5E1C" w:rsidRDefault="004E5E1C" w:rsidP="00E129AB">
            <w:pPr>
              <w:rPr>
                <w:sz w:val="18"/>
                <w:szCs w:val="18"/>
                <w:lang w:eastAsia="en-GB"/>
              </w:rPr>
            </w:pPr>
            <w:r w:rsidRPr="004E5E1C">
              <w:rPr>
                <w:rFonts w:cstheme="minorHAnsi"/>
                <w:sz w:val="18"/>
                <w:szCs w:val="18"/>
              </w:rPr>
              <w:t>Charlotte Miskin-Hymas</w:t>
            </w:r>
          </w:p>
        </w:tc>
        <w:tc>
          <w:tcPr>
            <w:tcW w:w="2268" w:type="dxa"/>
          </w:tcPr>
          <w:p w14:paraId="37A5EC01" w14:textId="4D8D67B8" w:rsidR="004E5E1C" w:rsidRDefault="00E3229D" w:rsidP="00AD0D88">
            <w:pPr>
              <w:jc w:val="right"/>
              <w:rPr>
                <w:sz w:val="18"/>
                <w:szCs w:val="18"/>
                <w:lang w:eastAsia="en-GB"/>
              </w:rPr>
            </w:pPr>
            <w:r>
              <w:rPr>
                <w:sz w:val="18"/>
                <w:szCs w:val="18"/>
                <w:lang w:eastAsia="en-GB"/>
              </w:rPr>
              <w:t>Since</w:t>
            </w:r>
            <w:r w:rsidR="00F1104B">
              <w:rPr>
                <w:sz w:val="18"/>
                <w:szCs w:val="18"/>
                <w:lang w:eastAsia="en-GB"/>
              </w:rPr>
              <w:t xml:space="preserve"> 2017</w:t>
            </w:r>
          </w:p>
        </w:tc>
      </w:tr>
      <w:tr w:rsidR="00E3229D" w:rsidRPr="00D71476" w14:paraId="769F603A" w14:textId="77777777" w:rsidTr="006A1D4D">
        <w:tc>
          <w:tcPr>
            <w:tcW w:w="3402" w:type="dxa"/>
            <w:vAlign w:val="center"/>
          </w:tcPr>
          <w:p w14:paraId="4DD810FD" w14:textId="7CF5C200" w:rsidR="00E3229D" w:rsidRDefault="00E3229D" w:rsidP="004E5E1C">
            <w:pPr>
              <w:rPr>
                <w:sz w:val="18"/>
                <w:szCs w:val="18"/>
                <w:lang w:eastAsia="en-GB"/>
              </w:rPr>
            </w:pPr>
            <w:r>
              <w:rPr>
                <w:sz w:val="18"/>
                <w:szCs w:val="18"/>
                <w:lang w:eastAsia="en-GB"/>
              </w:rPr>
              <w:t>Dan Lear (</w:t>
            </w:r>
            <w:r w:rsidR="006B42D2">
              <w:rPr>
                <w:sz w:val="18"/>
                <w:szCs w:val="18"/>
                <w:lang w:eastAsia="en-GB"/>
              </w:rPr>
              <w:t xml:space="preserve">MBA / </w:t>
            </w:r>
            <w:r>
              <w:rPr>
                <w:sz w:val="18"/>
                <w:szCs w:val="18"/>
                <w:lang w:eastAsia="en-GB"/>
              </w:rPr>
              <w:t>DASSH)</w:t>
            </w:r>
          </w:p>
        </w:tc>
        <w:tc>
          <w:tcPr>
            <w:tcW w:w="2410" w:type="dxa"/>
            <w:vAlign w:val="center"/>
          </w:tcPr>
          <w:p w14:paraId="75108E94" w14:textId="1B97C980" w:rsidR="00E3229D" w:rsidRDefault="00E3229D" w:rsidP="004E5E1C">
            <w:pPr>
              <w:jc w:val="right"/>
              <w:rPr>
                <w:sz w:val="18"/>
                <w:szCs w:val="18"/>
                <w:lang w:eastAsia="en-GB"/>
              </w:rPr>
            </w:pPr>
            <w:r>
              <w:rPr>
                <w:sz w:val="18"/>
                <w:szCs w:val="18"/>
                <w:lang w:eastAsia="en-GB"/>
              </w:rPr>
              <w:t>Expert member since 2020</w:t>
            </w:r>
          </w:p>
        </w:tc>
        <w:tc>
          <w:tcPr>
            <w:tcW w:w="2126" w:type="dxa"/>
          </w:tcPr>
          <w:p w14:paraId="173AA759" w14:textId="1FCF39BB" w:rsidR="00E3229D" w:rsidRPr="004E5E1C" w:rsidRDefault="00E3229D" w:rsidP="00E129AB">
            <w:pPr>
              <w:rPr>
                <w:rFonts w:cstheme="minorHAnsi"/>
                <w:sz w:val="18"/>
                <w:szCs w:val="18"/>
              </w:rPr>
            </w:pPr>
            <w:r w:rsidRPr="004E5E1C">
              <w:rPr>
                <w:rFonts w:cstheme="minorHAnsi"/>
                <w:sz w:val="18"/>
                <w:szCs w:val="18"/>
              </w:rPr>
              <w:t>Roseanna Wright</w:t>
            </w:r>
          </w:p>
        </w:tc>
        <w:tc>
          <w:tcPr>
            <w:tcW w:w="2268" w:type="dxa"/>
          </w:tcPr>
          <w:p w14:paraId="4032C43E" w14:textId="05AD5869" w:rsidR="00E3229D" w:rsidRDefault="00E3229D" w:rsidP="00AD0D88">
            <w:pPr>
              <w:jc w:val="right"/>
              <w:rPr>
                <w:rFonts w:cstheme="minorHAnsi"/>
                <w:sz w:val="18"/>
                <w:szCs w:val="18"/>
              </w:rPr>
            </w:pPr>
            <w:r>
              <w:rPr>
                <w:rFonts w:cstheme="minorHAnsi"/>
                <w:sz w:val="18"/>
                <w:szCs w:val="18"/>
              </w:rPr>
              <w:t>Since</w:t>
            </w:r>
            <w:r w:rsidR="00F1104B">
              <w:rPr>
                <w:rFonts w:cstheme="minorHAnsi"/>
                <w:sz w:val="18"/>
                <w:szCs w:val="18"/>
              </w:rPr>
              <w:t xml:space="preserve"> 2018</w:t>
            </w:r>
          </w:p>
        </w:tc>
      </w:tr>
      <w:tr w:rsidR="004E5E1C" w:rsidRPr="00D71476" w14:paraId="5FA12116" w14:textId="77777777" w:rsidTr="006A1D4D">
        <w:tc>
          <w:tcPr>
            <w:tcW w:w="3402" w:type="dxa"/>
            <w:vAlign w:val="center"/>
          </w:tcPr>
          <w:p w14:paraId="218F25B8" w14:textId="77777777" w:rsidR="004E5E1C" w:rsidRPr="00D71476" w:rsidRDefault="004E5E1C" w:rsidP="004E5E1C">
            <w:pPr>
              <w:rPr>
                <w:sz w:val="18"/>
                <w:szCs w:val="18"/>
                <w:lang w:eastAsia="en-GB"/>
              </w:rPr>
            </w:pPr>
            <w:r>
              <w:rPr>
                <w:sz w:val="18"/>
                <w:szCs w:val="18"/>
                <w:lang w:eastAsia="en-GB"/>
              </w:rPr>
              <w:t>Graeme Duncan (JNCC)</w:t>
            </w:r>
          </w:p>
        </w:tc>
        <w:tc>
          <w:tcPr>
            <w:tcW w:w="2410" w:type="dxa"/>
            <w:vAlign w:val="center"/>
          </w:tcPr>
          <w:p w14:paraId="0BA6CF4D" w14:textId="77777777" w:rsidR="004E5E1C" w:rsidRPr="00D71476" w:rsidRDefault="004E5E1C" w:rsidP="004E5E1C">
            <w:pPr>
              <w:jc w:val="right"/>
              <w:rPr>
                <w:sz w:val="18"/>
                <w:szCs w:val="18"/>
                <w:lang w:eastAsia="en-GB"/>
              </w:rPr>
            </w:pPr>
            <w:r>
              <w:rPr>
                <w:sz w:val="18"/>
                <w:szCs w:val="18"/>
                <w:lang w:eastAsia="en-GB"/>
              </w:rPr>
              <w:t>Expert member since 2019</w:t>
            </w:r>
          </w:p>
        </w:tc>
        <w:tc>
          <w:tcPr>
            <w:tcW w:w="2126" w:type="dxa"/>
          </w:tcPr>
          <w:p w14:paraId="196B6D14" w14:textId="153EA867" w:rsidR="004E5E1C" w:rsidRPr="004E5E1C" w:rsidRDefault="004E5E1C" w:rsidP="00E129AB">
            <w:pPr>
              <w:rPr>
                <w:rFonts w:cstheme="minorHAnsi"/>
                <w:sz w:val="18"/>
                <w:szCs w:val="18"/>
              </w:rPr>
            </w:pPr>
          </w:p>
        </w:tc>
        <w:tc>
          <w:tcPr>
            <w:tcW w:w="2268" w:type="dxa"/>
          </w:tcPr>
          <w:p w14:paraId="49446345" w14:textId="77777777" w:rsidR="004E5E1C" w:rsidRDefault="004E5E1C" w:rsidP="00AD0D88">
            <w:pPr>
              <w:jc w:val="right"/>
              <w:rPr>
                <w:rFonts w:cstheme="minorHAnsi"/>
                <w:sz w:val="18"/>
                <w:szCs w:val="18"/>
              </w:rPr>
            </w:pPr>
          </w:p>
        </w:tc>
      </w:tr>
      <w:tr w:rsidR="004E5E1C" w:rsidRPr="00D71476" w14:paraId="0A3289CE" w14:textId="77777777" w:rsidTr="006A1D4D">
        <w:tc>
          <w:tcPr>
            <w:tcW w:w="3402" w:type="dxa"/>
            <w:vAlign w:val="center"/>
          </w:tcPr>
          <w:p w14:paraId="437F2CB9" w14:textId="77777777" w:rsidR="004E5E1C" w:rsidRPr="00D71476" w:rsidRDefault="004E5E1C" w:rsidP="004E5E1C">
            <w:pPr>
              <w:rPr>
                <w:sz w:val="18"/>
                <w:szCs w:val="18"/>
                <w:lang w:eastAsia="en-GB"/>
              </w:rPr>
            </w:pPr>
            <w:r>
              <w:rPr>
                <w:sz w:val="18"/>
                <w:szCs w:val="18"/>
                <w:lang w:eastAsia="en-GB"/>
              </w:rPr>
              <w:t>Dr. Mike Osborne (OceanWise)</w:t>
            </w:r>
          </w:p>
        </w:tc>
        <w:tc>
          <w:tcPr>
            <w:tcW w:w="2410" w:type="dxa"/>
            <w:vAlign w:val="center"/>
          </w:tcPr>
          <w:p w14:paraId="00E385FC" w14:textId="77777777" w:rsidR="004E5E1C" w:rsidRPr="00D71476" w:rsidRDefault="004E5E1C" w:rsidP="004E5E1C">
            <w:pPr>
              <w:jc w:val="right"/>
              <w:rPr>
                <w:sz w:val="18"/>
                <w:szCs w:val="18"/>
                <w:lang w:eastAsia="en-GB"/>
              </w:rPr>
            </w:pPr>
            <w:r>
              <w:rPr>
                <w:sz w:val="18"/>
                <w:szCs w:val="18"/>
                <w:lang w:eastAsia="en-GB"/>
              </w:rPr>
              <w:t>Expert member since 2008</w:t>
            </w:r>
          </w:p>
        </w:tc>
        <w:tc>
          <w:tcPr>
            <w:tcW w:w="2126" w:type="dxa"/>
          </w:tcPr>
          <w:p w14:paraId="3397C0AE" w14:textId="77777777" w:rsidR="004E5E1C" w:rsidRPr="004E5E1C" w:rsidRDefault="004E5E1C" w:rsidP="00E129AB">
            <w:pPr>
              <w:rPr>
                <w:rFonts w:cstheme="minorHAnsi"/>
                <w:sz w:val="18"/>
                <w:szCs w:val="18"/>
              </w:rPr>
            </w:pPr>
          </w:p>
        </w:tc>
        <w:tc>
          <w:tcPr>
            <w:tcW w:w="2268" w:type="dxa"/>
          </w:tcPr>
          <w:p w14:paraId="5FC7AC86" w14:textId="77777777" w:rsidR="004E5E1C" w:rsidRDefault="004E5E1C" w:rsidP="00AD0D88">
            <w:pPr>
              <w:jc w:val="right"/>
              <w:rPr>
                <w:rFonts w:cstheme="minorHAnsi"/>
                <w:sz w:val="18"/>
                <w:szCs w:val="18"/>
              </w:rPr>
            </w:pPr>
          </w:p>
        </w:tc>
      </w:tr>
      <w:tr w:rsidR="00363A6B" w:rsidRPr="00116667" w14:paraId="15BEC743" w14:textId="77777777" w:rsidTr="006A1D4D">
        <w:tc>
          <w:tcPr>
            <w:tcW w:w="3402" w:type="dxa"/>
            <w:tcBorders>
              <w:top w:val="double" w:sz="4" w:space="0" w:color="0075A2" w:themeColor="accent2" w:themeShade="BF"/>
              <w:bottom w:val="double" w:sz="4" w:space="0" w:color="0075A2" w:themeColor="accent2" w:themeShade="BF"/>
            </w:tcBorders>
            <w:shd w:val="clear" w:color="auto" w:fill="C9F9FC" w:themeFill="accent3" w:themeFillTint="33"/>
            <w:vAlign w:val="center"/>
          </w:tcPr>
          <w:p w14:paraId="4FDD5C08" w14:textId="77777777" w:rsidR="00363A6B" w:rsidRPr="00D71476" w:rsidRDefault="004E5E1C" w:rsidP="00363A6B">
            <w:pPr>
              <w:rPr>
                <w:rFonts w:cstheme="minorHAnsi"/>
                <w:sz w:val="18"/>
                <w:szCs w:val="18"/>
              </w:rPr>
            </w:pPr>
            <w:r w:rsidRPr="00116667">
              <w:rPr>
                <w:rFonts w:cstheme="minorHAnsi"/>
                <w:b/>
                <w:sz w:val="18"/>
                <w:szCs w:val="18"/>
              </w:rPr>
              <w:t>Professor Peter Liss CBE FRS</w:t>
            </w:r>
          </w:p>
        </w:tc>
        <w:tc>
          <w:tcPr>
            <w:tcW w:w="2410" w:type="dxa"/>
            <w:tcBorders>
              <w:top w:val="double" w:sz="4" w:space="0" w:color="0075A2" w:themeColor="accent2" w:themeShade="BF"/>
              <w:bottom w:val="double" w:sz="4" w:space="0" w:color="0075A2" w:themeColor="accent2" w:themeShade="BF"/>
            </w:tcBorders>
            <w:shd w:val="clear" w:color="auto" w:fill="C9F9FC" w:themeFill="accent3" w:themeFillTint="33"/>
            <w:vAlign w:val="center"/>
          </w:tcPr>
          <w:p w14:paraId="7A208195" w14:textId="77777777" w:rsidR="00363A6B" w:rsidRPr="00116667" w:rsidRDefault="004E5E1C" w:rsidP="00363A6B">
            <w:pPr>
              <w:jc w:val="right"/>
              <w:rPr>
                <w:rFonts w:cstheme="minorHAnsi"/>
                <w:b/>
                <w:sz w:val="18"/>
                <w:szCs w:val="18"/>
              </w:rPr>
            </w:pPr>
            <w:r>
              <w:rPr>
                <w:rFonts w:cstheme="minorHAnsi"/>
                <w:b/>
                <w:sz w:val="18"/>
                <w:szCs w:val="18"/>
              </w:rPr>
              <w:t>Chair since 2008</w:t>
            </w:r>
          </w:p>
        </w:tc>
        <w:tc>
          <w:tcPr>
            <w:tcW w:w="2126" w:type="dxa"/>
            <w:tcBorders>
              <w:top w:val="double" w:sz="4" w:space="0" w:color="0075A2" w:themeColor="accent2" w:themeShade="BF"/>
              <w:bottom w:val="double" w:sz="4" w:space="0" w:color="0075A2" w:themeColor="accent2" w:themeShade="BF"/>
            </w:tcBorders>
            <w:shd w:val="clear" w:color="auto" w:fill="C9F9FC" w:themeFill="accent3" w:themeFillTint="33"/>
          </w:tcPr>
          <w:p w14:paraId="4C1839CC" w14:textId="77777777" w:rsidR="00363A6B" w:rsidRPr="00116667" w:rsidRDefault="00363A6B" w:rsidP="00363A6B">
            <w:pPr>
              <w:jc w:val="right"/>
              <w:rPr>
                <w:rFonts w:cstheme="minorHAnsi"/>
                <w:b/>
                <w:sz w:val="18"/>
                <w:szCs w:val="18"/>
              </w:rPr>
            </w:pPr>
          </w:p>
        </w:tc>
        <w:tc>
          <w:tcPr>
            <w:tcW w:w="2268" w:type="dxa"/>
            <w:tcBorders>
              <w:top w:val="double" w:sz="4" w:space="0" w:color="0075A2" w:themeColor="accent2" w:themeShade="BF"/>
              <w:bottom w:val="double" w:sz="4" w:space="0" w:color="0075A2" w:themeColor="accent2" w:themeShade="BF"/>
            </w:tcBorders>
            <w:shd w:val="clear" w:color="auto" w:fill="C9F9FC" w:themeFill="accent3" w:themeFillTint="33"/>
          </w:tcPr>
          <w:p w14:paraId="586E2CF0" w14:textId="77777777" w:rsidR="00363A6B" w:rsidRPr="00116667" w:rsidRDefault="00363A6B" w:rsidP="00363A6B">
            <w:pPr>
              <w:jc w:val="right"/>
              <w:rPr>
                <w:rFonts w:cstheme="minorHAnsi"/>
                <w:b/>
                <w:sz w:val="18"/>
                <w:szCs w:val="18"/>
              </w:rPr>
            </w:pPr>
          </w:p>
        </w:tc>
      </w:tr>
    </w:tbl>
    <w:p w14:paraId="52EF012C" w14:textId="77777777" w:rsidR="009B7FE0" w:rsidRDefault="00E67E2E" w:rsidP="009619E5">
      <w:pPr>
        <w:pStyle w:val="NumPara"/>
        <w:numPr>
          <w:ilvl w:val="0"/>
          <w:numId w:val="0"/>
        </w:numPr>
        <w:jc w:val="left"/>
        <w:rPr>
          <w:rFonts w:asciiTheme="minorHAnsi" w:hAnsiTheme="minorHAnsi" w:cstheme="minorHAnsi"/>
        </w:rPr>
      </w:pPr>
      <w:r>
        <w:rPr>
          <w:rFonts w:asciiTheme="minorHAnsi" w:hAnsiTheme="minorHAnsi" w:cstheme="minorHAnsi"/>
        </w:rPr>
        <w:t>The seven MEDIN</w:t>
      </w:r>
      <w:r w:rsidR="009619E5">
        <w:rPr>
          <w:rFonts w:asciiTheme="minorHAnsi" w:hAnsiTheme="minorHAnsi" w:cstheme="minorHAnsi"/>
        </w:rPr>
        <w:t xml:space="preserve"> work streams are project managed </w:t>
      </w:r>
      <w:r>
        <w:rPr>
          <w:rFonts w:asciiTheme="minorHAnsi" w:hAnsiTheme="minorHAnsi" w:cstheme="minorHAnsi"/>
        </w:rPr>
        <w:t xml:space="preserve">and supported </w:t>
      </w:r>
      <w:r w:rsidR="009619E5">
        <w:rPr>
          <w:rFonts w:asciiTheme="minorHAnsi" w:hAnsiTheme="minorHAnsi" w:cstheme="minorHAnsi"/>
        </w:rPr>
        <w:t xml:space="preserve">by the </w:t>
      </w:r>
      <w:r w:rsidR="009619E5" w:rsidRPr="00CE473B">
        <w:rPr>
          <w:rFonts w:asciiTheme="minorHAnsi" w:hAnsiTheme="minorHAnsi" w:cstheme="minorHAnsi"/>
        </w:rPr>
        <w:t xml:space="preserve">MEDIN </w:t>
      </w:r>
      <w:r w:rsidR="009619E5">
        <w:rPr>
          <w:rFonts w:asciiTheme="minorHAnsi" w:hAnsiTheme="minorHAnsi" w:cstheme="minorHAnsi"/>
        </w:rPr>
        <w:t>C</w:t>
      </w:r>
      <w:r w:rsidR="009619E5" w:rsidRPr="00CE473B">
        <w:rPr>
          <w:rFonts w:asciiTheme="minorHAnsi" w:hAnsiTheme="minorHAnsi" w:cstheme="minorHAnsi"/>
        </w:rPr>
        <w:t xml:space="preserve">ore </w:t>
      </w:r>
      <w:r w:rsidR="009619E5">
        <w:rPr>
          <w:rFonts w:asciiTheme="minorHAnsi" w:hAnsiTheme="minorHAnsi" w:cstheme="minorHAnsi"/>
        </w:rPr>
        <w:t>T</w:t>
      </w:r>
      <w:r w:rsidR="009619E5" w:rsidRPr="00CE473B">
        <w:rPr>
          <w:rFonts w:asciiTheme="minorHAnsi" w:hAnsiTheme="minorHAnsi" w:cstheme="minorHAnsi"/>
        </w:rPr>
        <w:t>eam</w:t>
      </w:r>
      <w:r w:rsidR="009619E5">
        <w:rPr>
          <w:rFonts w:asciiTheme="minorHAnsi" w:hAnsiTheme="minorHAnsi" w:cstheme="minorHAnsi"/>
        </w:rPr>
        <w:t xml:space="preserve"> -</w:t>
      </w:r>
      <w:r w:rsidR="009619E5" w:rsidRPr="00CE473B">
        <w:rPr>
          <w:rFonts w:asciiTheme="minorHAnsi" w:hAnsiTheme="minorHAnsi" w:cstheme="minorHAnsi"/>
        </w:rPr>
        <w:t xml:space="preserve"> seven part-time staff</w:t>
      </w:r>
      <w:r w:rsidR="009619E5">
        <w:rPr>
          <w:rFonts w:asciiTheme="minorHAnsi" w:hAnsiTheme="minorHAnsi" w:cstheme="minorHAnsi"/>
        </w:rPr>
        <w:t xml:space="preserve"> </w:t>
      </w:r>
      <w:r w:rsidR="009619E5">
        <w:rPr>
          <w:rFonts w:asciiTheme="minorHAnsi" w:hAnsiTheme="minorHAnsi" w:cstheme="minorHAnsi"/>
        </w:rPr>
        <w:lastRenderedPageBreak/>
        <w:t>employed</w:t>
      </w:r>
      <w:r w:rsidR="009619E5" w:rsidRPr="00CE473B">
        <w:rPr>
          <w:rFonts w:asciiTheme="minorHAnsi" w:hAnsiTheme="minorHAnsi" w:cstheme="minorHAnsi"/>
        </w:rPr>
        <w:t xml:space="preserve"> by the </w:t>
      </w:r>
      <w:r w:rsidR="009619E5">
        <w:rPr>
          <w:rFonts w:asciiTheme="minorHAnsi" w:hAnsiTheme="minorHAnsi" w:cstheme="minorHAnsi"/>
        </w:rPr>
        <w:t xml:space="preserve">National Oceanography Centre within the </w:t>
      </w:r>
      <w:r w:rsidR="009619E5" w:rsidRPr="00CE473B">
        <w:rPr>
          <w:rFonts w:asciiTheme="minorHAnsi" w:hAnsiTheme="minorHAnsi" w:cstheme="minorHAnsi"/>
        </w:rPr>
        <w:t>British Oceanographic Data Centre</w:t>
      </w:r>
      <w:r w:rsidR="009619E5">
        <w:rPr>
          <w:rFonts w:asciiTheme="minorHAnsi" w:hAnsiTheme="minorHAnsi" w:cstheme="minorHAnsi"/>
        </w:rPr>
        <w:t xml:space="preserve">. In addition to </w:t>
      </w:r>
      <w:r w:rsidR="009619E5" w:rsidRPr="00CE473B">
        <w:rPr>
          <w:rFonts w:asciiTheme="minorHAnsi" w:hAnsiTheme="minorHAnsi" w:cstheme="minorHAnsi"/>
        </w:rPr>
        <w:t>project management</w:t>
      </w:r>
      <w:r w:rsidR="009619E5">
        <w:rPr>
          <w:rFonts w:asciiTheme="minorHAnsi" w:hAnsiTheme="minorHAnsi" w:cstheme="minorHAnsi"/>
        </w:rPr>
        <w:t>, the MEDIN Core Team provide</w:t>
      </w:r>
      <w:r w:rsidR="009619E5" w:rsidRPr="00CE473B">
        <w:rPr>
          <w:rFonts w:asciiTheme="minorHAnsi" w:hAnsiTheme="minorHAnsi" w:cstheme="minorHAnsi"/>
        </w:rPr>
        <w:t xml:space="preserve"> leadership for the work streams and secretariat </w:t>
      </w:r>
      <w:r w:rsidR="001C5F5E">
        <w:rPr>
          <w:rFonts w:asciiTheme="minorHAnsi" w:hAnsiTheme="minorHAnsi" w:cstheme="minorHAnsi"/>
        </w:rPr>
        <w:t xml:space="preserve">as well as </w:t>
      </w:r>
      <w:r w:rsidR="009619E5">
        <w:rPr>
          <w:rFonts w:asciiTheme="minorHAnsi" w:hAnsiTheme="minorHAnsi" w:cstheme="minorHAnsi"/>
        </w:rPr>
        <w:t xml:space="preserve">administrative </w:t>
      </w:r>
      <w:r w:rsidR="009619E5" w:rsidRPr="00CE473B">
        <w:rPr>
          <w:rFonts w:asciiTheme="minorHAnsi" w:hAnsiTheme="minorHAnsi" w:cstheme="minorHAnsi"/>
        </w:rPr>
        <w:t>support</w:t>
      </w:r>
      <w:r w:rsidR="009619E5">
        <w:rPr>
          <w:rFonts w:asciiTheme="minorHAnsi" w:hAnsiTheme="minorHAnsi" w:cstheme="minorHAnsi"/>
        </w:rPr>
        <w:t xml:space="preserve"> to MEDIN</w:t>
      </w:r>
      <w:r w:rsidR="00D86C05">
        <w:rPr>
          <w:rFonts w:asciiTheme="minorHAnsi" w:hAnsiTheme="minorHAnsi" w:cstheme="minorHAnsi"/>
        </w:rPr>
        <w:t>. The MEDIN Core Team met monthly</w:t>
      </w:r>
      <w:r w:rsidR="00E12EED">
        <w:rPr>
          <w:rFonts w:asciiTheme="minorHAnsi" w:hAnsiTheme="minorHAnsi" w:cstheme="minorHAnsi"/>
        </w:rPr>
        <w:t xml:space="preserve"> in </w:t>
      </w:r>
      <w:r w:rsidR="00EB4903">
        <w:rPr>
          <w:rFonts w:asciiTheme="minorHAnsi" w:hAnsiTheme="minorHAnsi" w:cstheme="minorHAnsi"/>
        </w:rPr>
        <w:t>2020-21</w:t>
      </w:r>
      <w:r w:rsidR="00D86C05">
        <w:rPr>
          <w:rFonts w:asciiTheme="minorHAnsi" w:hAnsiTheme="minorHAnsi" w:cstheme="minorHAnsi"/>
        </w:rPr>
        <w:t>.</w:t>
      </w: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7"/>
        <w:gridCol w:w="8006"/>
      </w:tblGrid>
      <w:tr w:rsidR="00A51CD3" w:rsidRPr="00D71476" w14:paraId="7396BAFF" w14:textId="77777777" w:rsidTr="006A1D4D">
        <w:tc>
          <w:tcPr>
            <w:tcW w:w="2694" w:type="dxa"/>
            <w:tcBorders>
              <w:bottom w:val="double" w:sz="4" w:space="0" w:color="089BA2" w:themeColor="accent3" w:themeShade="BF"/>
            </w:tcBorders>
            <w:vAlign w:val="center"/>
          </w:tcPr>
          <w:p w14:paraId="360CD8CA" w14:textId="77777777" w:rsidR="00A51CD3" w:rsidRPr="00D71476" w:rsidRDefault="00A51CD3" w:rsidP="00A51CD3">
            <w:pPr>
              <w:rPr>
                <w:sz w:val="18"/>
                <w:szCs w:val="18"/>
                <w:lang w:eastAsia="en-GB"/>
              </w:rPr>
            </w:pPr>
            <w:r>
              <w:rPr>
                <w:rFonts w:cstheme="minorHAnsi"/>
                <w:b/>
                <w:bCs/>
                <w:sz w:val="18"/>
                <w:szCs w:val="18"/>
              </w:rPr>
              <w:t>Core Team member</w:t>
            </w:r>
          </w:p>
        </w:tc>
        <w:tc>
          <w:tcPr>
            <w:tcW w:w="7796" w:type="dxa"/>
            <w:tcBorders>
              <w:bottom w:val="double" w:sz="4" w:space="0" w:color="089BA2" w:themeColor="accent3" w:themeShade="BF"/>
            </w:tcBorders>
            <w:vAlign w:val="center"/>
          </w:tcPr>
          <w:p w14:paraId="25E59520" w14:textId="77777777" w:rsidR="00A51CD3" w:rsidRPr="00D71476" w:rsidRDefault="00A51CD3" w:rsidP="00A51CD3">
            <w:pPr>
              <w:jc w:val="right"/>
              <w:rPr>
                <w:sz w:val="18"/>
                <w:szCs w:val="18"/>
                <w:lang w:eastAsia="en-GB"/>
              </w:rPr>
            </w:pPr>
            <w:r>
              <w:rPr>
                <w:b/>
                <w:sz w:val="18"/>
                <w:szCs w:val="18"/>
                <w:lang w:eastAsia="en-GB"/>
              </w:rPr>
              <w:t xml:space="preserve">Work </w:t>
            </w:r>
            <w:r w:rsidR="00C26A49">
              <w:rPr>
                <w:b/>
                <w:sz w:val="18"/>
                <w:szCs w:val="18"/>
                <w:lang w:eastAsia="en-GB"/>
              </w:rPr>
              <w:t>S</w:t>
            </w:r>
            <w:r>
              <w:rPr>
                <w:b/>
                <w:sz w:val="18"/>
                <w:szCs w:val="18"/>
                <w:lang w:eastAsia="en-GB"/>
              </w:rPr>
              <w:t xml:space="preserve">tream </w:t>
            </w:r>
            <w:r w:rsidR="00C26A49">
              <w:rPr>
                <w:b/>
                <w:sz w:val="18"/>
                <w:szCs w:val="18"/>
                <w:lang w:eastAsia="en-GB"/>
              </w:rPr>
              <w:t xml:space="preserve">(WS) </w:t>
            </w:r>
            <w:r>
              <w:rPr>
                <w:b/>
                <w:sz w:val="18"/>
                <w:szCs w:val="18"/>
                <w:lang w:eastAsia="en-GB"/>
              </w:rPr>
              <w:t>role</w:t>
            </w:r>
          </w:p>
        </w:tc>
      </w:tr>
      <w:tr w:rsidR="00A51CD3" w:rsidRPr="00D71476" w14:paraId="12A804DA" w14:textId="77777777" w:rsidTr="006A1D4D">
        <w:tc>
          <w:tcPr>
            <w:tcW w:w="2694" w:type="dxa"/>
          </w:tcPr>
          <w:p w14:paraId="7890C8B0" w14:textId="77777777" w:rsidR="00A51CD3" w:rsidRPr="00756AB9" w:rsidRDefault="00A51CD3" w:rsidP="00A51CD3">
            <w:pPr>
              <w:rPr>
                <w:sz w:val="18"/>
                <w:szCs w:val="18"/>
                <w:lang w:eastAsia="en-GB"/>
              </w:rPr>
            </w:pPr>
            <w:r w:rsidRPr="00756AB9">
              <w:rPr>
                <w:rFonts w:cstheme="minorHAnsi"/>
                <w:sz w:val="18"/>
                <w:szCs w:val="18"/>
              </w:rPr>
              <w:t>Dr. Robin McCandliss</w:t>
            </w:r>
          </w:p>
        </w:tc>
        <w:tc>
          <w:tcPr>
            <w:tcW w:w="7796" w:type="dxa"/>
            <w:vAlign w:val="center"/>
          </w:tcPr>
          <w:p w14:paraId="656FF21C" w14:textId="77777777" w:rsidR="00A51CD3" w:rsidRPr="00756AB9" w:rsidRDefault="00A51CD3" w:rsidP="00A51CD3">
            <w:pPr>
              <w:jc w:val="right"/>
              <w:rPr>
                <w:sz w:val="18"/>
                <w:szCs w:val="18"/>
                <w:lang w:eastAsia="en-GB"/>
              </w:rPr>
            </w:pPr>
            <w:r w:rsidRPr="00756AB9">
              <w:rPr>
                <w:rFonts w:cstheme="minorHAnsi"/>
                <w:sz w:val="18"/>
                <w:szCs w:val="18"/>
              </w:rPr>
              <w:t>Lead on DACs</w:t>
            </w:r>
            <w:r w:rsidR="00C26A49" w:rsidRPr="00756AB9">
              <w:rPr>
                <w:rFonts w:cstheme="minorHAnsi"/>
                <w:sz w:val="18"/>
                <w:szCs w:val="18"/>
              </w:rPr>
              <w:t xml:space="preserve"> WS</w:t>
            </w:r>
            <w:r w:rsidRPr="00756AB9">
              <w:rPr>
                <w:rFonts w:cstheme="minorHAnsi"/>
                <w:sz w:val="18"/>
                <w:szCs w:val="18"/>
              </w:rPr>
              <w:t xml:space="preserve"> </w:t>
            </w:r>
          </w:p>
        </w:tc>
      </w:tr>
      <w:tr w:rsidR="00A51CD3" w:rsidRPr="00D71476" w14:paraId="612669CE" w14:textId="77777777" w:rsidTr="006A1D4D">
        <w:tc>
          <w:tcPr>
            <w:tcW w:w="2694" w:type="dxa"/>
          </w:tcPr>
          <w:p w14:paraId="52CEC928" w14:textId="77777777" w:rsidR="00A51CD3" w:rsidRPr="00756AB9" w:rsidRDefault="00A51CD3" w:rsidP="00A51CD3">
            <w:pPr>
              <w:rPr>
                <w:sz w:val="18"/>
                <w:szCs w:val="18"/>
                <w:lang w:eastAsia="en-GB"/>
              </w:rPr>
            </w:pPr>
            <w:r w:rsidRPr="00756AB9">
              <w:rPr>
                <w:rFonts w:cstheme="minorHAnsi"/>
                <w:sz w:val="18"/>
                <w:szCs w:val="18"/>
              </w:rPr>
              <w:t xml:space="preserve">Roseanna Wright </w:t>
            </w:r>
          </w:p>
        </w:tc>
        <w:tc>
          <w:tcPr>
            <w:tcW w:w="7796" w:type="dxa"/>
            <w:vAlign w:val="center"/>
          </w:tcPr>
          <w:p w14:paraId="6207D294" w14:textId="77777777" w:rsidR="00A51CD3" w:rsidRPr="00756AB9" w:rsidRDefault="00A51CD3" w:rsidP="00A51CD3">
            <w:pPr>
              <w:jc w:val="right"/>
              <w:rPr>
                <w:sz w:val="18"/>
                <w:szCs w:val="18"/>
                <w:lang w:eastAsia="en-GB"/>
              </w:rPr>
            </w:pPr>
            <w:r w:rsidRPr="00756AB9">
              <w:rPr>
                <w:rFonts w:cstheme="minorHAnsi"/>
                <w:sz w:val="18"/>
                <w:szCs w:val="18"/>
              </w:rPr>
              <w:t>Lead on Standards</w:t>
            </w:r>
            <w:r w:rsidR="00C26A49" w:rsidRPr="00756AB9">
              <w:rPr>
                <w:rFonts w:cstheme="minorHAnsi"/>
                <w:sz w:val="18"/>
                <w:szCs w:val="18"/>
              </w:rPr>
              <w:t xml:space="preserve"> WS</w:t>
            </w:r>
            <w:r w:rsidRPr="00756AB9">
              <w:rPr>
                <w:rFonts w:cstheme="minorHAnsi"/>
                <w:sz w:val="18"/>
                <w:szCs w:val="18"/>
              </w:rPr>
              <w:t xml:space="preserve"> </w:t>
            </w:r>
          </w:p>
        </w:tc>
      </w:tr>
      <w:tr w:rsidR="00A51CD3" w:rsidRPr="00D71476" w14:paraId="5BB81D1F" w14:textId="77777777" w:rsidTr="006A1D4D">
        <w:tc>
          <w:tcPr>
            <w:tcW w:w="2694" w:type="dxa"/>
          </w:tcPr>
          <w:p w14:paraId="19B5EF36" w14:textId="77777777" w:rsidR="00A51CD3" w:rsidRPr="00756AB9" w:rsidRDefault="00A51CD3" w:rsidP="00A51CD3">
            <w:pPr>
              <w:rPr>
                <w:sz w:val="18"/>
                <w:szCs w:val="18"/>
                <w:lang w:eastAsia="en-GB"/>
              </w:rPr>
            </w:pPr>
            <w:r w:rsidRPr="00756AB9">
              <w:rPr>
                <w:rFonts w:cstheme="minorHAnsi"/>
                <w:sz w:val="18"/>
                <w:szCs w:val="18"/>
              </w:rPr>
              <w:t>Dr. Sean Gaffney</w:t>
            </w:r>
          </w:p>
        </w:tc>
        <w:tc>
          <w:tcPr>
            <w:tcW w:w="7796" w:type="dxa"/>
            <w:vAlign w:val="center"/>
          </w:tcPr>
          <w:p w14:paraId="73A6A941" w14:textId="77777777" w:rsidR="00A51CD3" w:rsidRPr="00756AB9" w:rsidRDefault="00A51CD3" w:rsidP="00A51CD3">
            <w:pPr>
              <w:jc w:val="right"/>
              <w:rPr>
                <w:sz w:val="18"/>
                <w:szCs w:val="18"/>
                <w:lang w:eastAsia="en-GB"/>
              </w:rPr>
            </w:pPr>
            <w:r w:rsidRPr="00756AB9">
              <w:rPr>
                <w:rFonts w:cstheme="minorHAnsi"/>
                <w:sz w:val="18"/>
                <w:szCs w:val="18"/>
              </w:rPr>
              <w:t>Support to Standards</w:t>
            </w:r>
            <w:r w:rsidR="00C26A49" w:rsidRPr="00756AB9">
              <w:rPr>
                <w:rFonts w:cstheme="minorHAnsi"/>
                <w:sz w:val="18"/>
                <w:szCs w:val="18"/>
              </w:rPr>
              <w:t xml:space="preserve"> WS</w:t>
            </w:r>
            <w:r w:rsidRPr="00756AB9">
              <w:rPr>
                <w:rFonts w:cstheme="minorHAnsi"/>
                <w:sz w:val="18"/>
                <w:szCs w:val="18"/>
              </w:rPr>
              <w:t xml:space="preserve"> </w:t>
            </w:r>
          </w:p>
        </w:tc>
      </w:tr>
      <w:tr w:rsidR="00A51CD3" w:rsidRPr="00D71476" w14:paraId="6DDACC29" w14:textId="77777777" w:rsidTr="006A1D4D">
        <w:tc>
          <w:tcPr>
            <w:tcW w:w="2694" w:type="dxa"/>
          </w:tcPr>
          <w:p w14:paraId="41420780" w14:textId="77777777" w:rsidR="00A51CD3" w:rsidRPr="00756AB9" w:rsidRDefault="00A51CD3" w:rsidP="00A51CD3">
            <w:pPr>
              <w:rPr>
                <w:sz w:val="18"/>
                <w:szCs w:val="18"/>
                <w:lang w:eastAsia="en-GB"/>
              </w:rPr>
            </w:pPr>
            <w:r w:rsidRPr="00756AB9">
              <w:rPr>
                <w:rFonts w:cstheme="minorHAnsi"/>
                <w:sz w:val="18"/>
                <w:szCs w:val="18"/>
              </w:rPr>
              <w:t>Dr. Gaynor Evans</w:t>
            </w:r>
          </w:p>
        </w:tc>
        <w:tc>
          <w:tcPr>
            <w:tcW w:w="7796" w:type="dxa"/>
            <w:vAlign w:val="center"/>
          </w:tcPr>
          <w:p w14:paraId="1D26A027" w14:textId="77777777" w:rsidR="00A51CD3" w:rsidRPr="00756AB9" w:rsidRDefault="00A51CD3" w:rsidP="00A51CD3">
            <w:pPr>
              <w:jc w:val="right"/>
              <w:rPr>
                <w:sz w:val="18"/>
                <w:szCs w:val="18"/>
                <w:lang w:eastAsia="en-GB"/>
              </w:rPr>
            </w:pPr>
            <w:r w:rsidRPr="00756AB9">
              <w:rPr>
                <w:rFonts w:cstheme="minorHAnsi"/>
                <w:sz w:val="18"/>
                <w:szCs w:val="18"/>
              </w:rPr>
              <w:t>Lead on Portal, Products and Services</w:t>
            </w:r>
            <w:r w:rsidR="00C26A49" w:rsidRPr="00756AB9">
              <w:rPr>
                <w:rFonts w:cstheme="minorHAnsi"/>
                <w:sz w:val="18"/>
                <w:szCs w:val="18"/>
              </w:rPr>
              <w:t xml:space="preserve"> WS</w:t>
            </w:r>
            <w:r w:rsidRPr="00756AB9">
              <w:rPr>
                <w:rFonts w:cstheme="minorHAnsi"/>
                <w:sz w:val="18"/>
                <w:szCs w:val="18"/>
              </w:rPr>
              <w:t xml:space="preserve"> </w:t>
            </w:r>
          </w:p>
        </w:tc>
      </w:tr>
      <w:tr w:rsidR="00A51CD3" w:rsidRPr="00D71476" w14:paraId="1DEA75E7" w14:textId="77777777" w:rsidTr="006A1D4D">
        <w:tc>
          <w:tcPr>
            <w:tcW w:w="2694" w:type="dxa"/>
          </w:tcPr>
          <w:p w14:paraId="7DD7327B" w14:textId="77777777" w:rsidR="00A51CD3" w:rsidRPr="00756AB9" w:rsidRDefault="00A51CD3" w:rsidP="00A51CD3">
            <w:pPr>
              <w:rPr>
                <w:rFonts w:cstheme="minorHAnsi"/>
                <w:sz w:val="18"/>
                <w:szCs w:val="18"/>
              </w:rPr>
            </w:pPr>
            <w:r w:rsidRPr="00756AB9">
              <w:rPr>
                <w:rFonts w:cstheme="minorHAnsi"/>
                <w:sz w:val="18"/>
                <w:szCs w:val="18"/>
              </w:rPr>
              <w:t>Dr. Clare Postlethwaite</w:t>
            </w:r>
          </w:p>
        </w:tc>
        <w:tc>
          <w:tcPr>
            <w:tcW w:w="7796" w:type="dxa"/>
            <w:vAlign w:val="center"/>
          </w:tcPr>
          <w:p w14:paraId="43B8A6F9" w14:textId="77777777" w:rsidR="00A51CD3" w:rsidRPr="00756AB9" w:rsidRDefault="00A51CD3" w:rsidP="00A51CD3">
            <w:pPr>
              <w:jc w:val="right"/>
              <w:rPr>
                <w:rFonts w:cstheme="minorHAnsi"/>
                <w:sz w:val="18"/>
                <w:szCs w:val="18"/>
              </w:rPr>
            </w:pPr>
            <w:r w:rsidRPr="00756AB9">
              <w:rPr>
                <w:rFonts w:cstheme="minorHAnsi"/>
                <w:sz w:val="18"/>
                <w:szCs w:val="18"/>
              </w:rPr>
              <w:t>Lead on International; Resources and Applications; and Management and Coordination</w:t>
            </w:r>
            <w:r w:rsidR="00C26A49" w:rsidRPr="00756AB9">
              <w:rPr>
                <w:rFonts w:cstheme="minorHAnsi"/>
                <w:sz w:val="18"/>
                <w:szCs w:val="18"/>
              </w:rPr>
              <w:t xml:space="preserve"> WS</w:t>
            </w:r>
            <w:r w:rsidRPr="00756AB9">
              <w:rPr>
                <w:rFonts w:cstheme="minorHAnsi"/>
                <w:sz w:val="18"/>
                <w:szCs w:val="18"/>
              </w:rPr>
              <w:t xml:space="preserve"> </w:t>
            </w:r>
          </w:p>
        </w:tc>
      </w:tr>
      <w:tr w:rsidR="00A51CD3" w:rsidRPr="00D71476" w14:paraId="66D6EE98" w14:textId="77777777" w:rsidTr="006A1D4D">
        <w:tc>
          <w:tcPr>
            <w:tcW w:w="2694" w:type="dxa"/>
          </w:tcPr>
          <w:p w14:paraId="46B9D16B" w14:textId="77777777" w:rsidR="00A51CD3" w:rsidRPr="00756AB9" w:rsidRDefault="00A51CD3" w:rsidP="00A51CD3">
            <w:pPr>
              <w:rPr>
                <w:sz w:val="18"/>
                <w:szCs w:val="18"/>
                <w:lang w:eastAsia="en-GB"/>
              </w:rPr>
            </w:pPr>
            <w:r w:rsidRPr="00756AB9">
              <w:rPr>
                <w:rFonts w:cstheme="minorHAnsi"/>
                <w:sz w:val="18"/>
                <w:szCs w:val="18"/>
              </w:rPr>
              <w:t>Charlotte Miskin-Hymas</w:t>
            </w:r>
          </w:p>
        </w:tc>
        <w:tc>
          <w:tcPr>
            <w:tcW w:w="7796" w:type="dxa"/>
            <w:vAlign w:val="center"/>
          </w:tcPr>
          <w:p w14:paraId="61A3E00B" w14:textId="77777777" w:rsidR="00A51CD3" w:rsidRPr="00756AB9" w:rsidRDefault="00A51CD3" w:rsidP="00A51CD3">
            <w:pPr>
              <w:jc w:val="right"/>
              <w:rPr>
                <w:sz w:val="18"/>
                <w:szCs w:val="18"/>
                <w:lang w:eastAsia="en-GB"/>
              </w:rPr>
            </w:pPr>
            <w:r w:rsidRPr="00756AB9">
              <w:rPr>
                <w:rFonts w:cstheme="minorHAnsi"/>
                <w:sz w:val="18"/>
                <w:szCs w:val="18"/>
              </w:rPr>
              <w:t>Lead on Communication W</w:t>
            </w:r>
            <w:r w:rsidR="00C26A49" w:rsidRPr="00756AB9">
              <w:rPr>
                <w:rFonts w:cstheme="minorHAnsi"/>
                <w:sz w:val="18"/>
                <w:szCs w:val="18"/>
              </w:rPr>
              <w:t>S</w:t>
            </w:r>
            <w:r w:rsidRPr="00756AB9">
              <w:rPr>
                <w:rFonts w:cstheme="minorHAnsi"/>
                <w:sz w:val="18"/>
                <w:szCs w:val="18"/>
              </w:rPr>
              <w:t xml:space="preserve"> and support to Internationa</w:t>
            </w:r>
            <w:r w:rsidR="00C26A49" w:rsidRPr="00756AB9">
              <w:rPr>
                <w:rFonts w:cstheme="minorHAnsi"/>
                <w:sz w:val="18"/>
                <w:szCs w:val="18"/>
              </w:rPr>
              <w:t>l WS</w:t>
            </w:r>
            <w:r w:rsidRPr="00756AB9">
              <w:rPr>
                <w:rFonts w:cstheme="minorHAnsi"/>
                <w:sz w:val="18"/>
                <w:szCs w:val="18"/>
              </w:rPr>
              <w:t xml:space="preserve"> </w:t>
            </w:r>
          </w:p>
        </w:tc>
      </w:tr>
      <w:tr w:rsidR="00A51CD3" w:rsidRPr="00D71476" w14:paraId="465A82BA" w14:textId="77777777" w:rsidTr="006A1D4D">
        <w:tc>
          <w:tcPr>
            <w:tcW w:w="2694" w:type="dxa"/>
          </w:tcPr>
          <w:p w14:paraId="5E8C2CEF" w14:textId="77777777" w:rsidR="00A51CD3" w:rsidRPr="00756AB9" w:rsidRDefault="00A51CD3" w:rsidP="00A51CD3">
            <w:pPr>
              <w:rPr>
                <w:rFonts w:cstheme="minorHAnsi"/>
                <w:sz w:val="18"/>
                <w:szCs w:val="18"/>
              </w:rPr>
            </w:pPr>
            <w:r w:rsidRPr="00756AB9">
              <w:rPr>
                <w:rFonts w:cstheme="minorHAnsi"/>
                <w:sz w:val="18"/>
                <w:szCs w:val="18"/>
              </w:rPr>
              <w:t>Paul McGarrigle</w:t>
            </w:r>
          </w:p>
        </w:tc>
        <w:tc>
          <w:tcPr>
            <w:tcW w:w="7796" w:type="dxa"/>
          </w:tcPr>
          <w:p w14:paraId="42A4C65C" w14:textId="77777777" w:rsidR="00A51CD3" w:rsidRPr="00756AB9" w:rsidRDefault="00A51CD3" w:rsidP="00A51CD3">
            <w:pPr>
              <w:jc w:val="right"/>
              <w:rPr>
                <w:sz w:val="18"/>
                <w:szCs w:val="18"/>
                <w:lang w:eastAsia="en-GB"/>
              </w:rPr>
            </w:pPr>
            <w:r w:rsidRPr="00756AB9">
              <w:rPr>
                <w:rFonts w:cstheme="minorHAnsi"/>
                <w:sz w:val="18"/>
                <w:szCs w:val="18"/>
              </w:rPr>
              <w:t>Administrative Support</w:t>
            </w:r>
          </w:p>
        </w:tc>
      </w:tr>
      <w:tr w:rsidR="00A51CD3" w:rsidRPr="00116667" w14:paraId="55D2A292" w14:textId="77777777" w:rsidTr="006A1D4D">
        <w:tc>
          <w:tcPr>
            <w:tcW w:w="2694" w:type="dxa"/>
            <w:tcBorders>
              <w:top w:val="double" w:sz="4" w:space="0" w:color="0075A2" w:themeColor="accent2" w:themeShade="BF"/>
              <w:bottom w:val="double" w:sz="4" w:space="0" w:color="0075A2" w:themeColor="accent2" w:themeShade="BF"/>
            </w:tcBorders>
            <w:shd w:val="clear" w:color="auto" w:fill="C9F9FC" w:themeFill="accent3" w:themeFillTint="33"/>
          </w:tcPr>
          <w:p w14:paraId="1955E21B" w14:textId="77777777" w:rsidR="00A51CD3" w:rsidRPr="00A51CD3" w:rsidRDefault="00A51CD3" w:rsidP="00A51CD3">
            <w:pPr>
              <w:rPr>
                <w:rFonts w:cstheme="minorHAnsi"/>
                <w:b/>
                <w:sz w:val="18"/>
                <w:szCs w:val="18"/>
              </w:rPr>
            </w:pPr>
            <w:r w:rsidRPr="00A51CD3">
              <w:rPr>
                <w:rFonts w:cstheme="minorHAnsi"/>
                <w:b/>
                <w:i/>
                <w:sz w:val="18"/>
                <w:szCs w:val="18"/>
              </w:rPr>
              <w:t>Dr. Clare Postlethwaite</w:t>
            </w:r>
          </w:p>
        </w:tc>
        <w:tc>
          <w:tcPr>
            <w:tcW w:w="7796" w:type="dxa"/>
            <w:tcBorders>
              <w:top w:val="double" w:sz="4" w:space="0" w:color="0075A2" w:themeColor="accent2" w:themeShade="BF"/>
              <w:bottom w:val="double" w:sz="4" w:space="0" w:color="0075A2" w:themeColor="accent2" w:themeShade="BF"/>
            </w:tcBorders>
            <w:shd w:val="clear" w:color="auto" w:fill="C9F9FC" w:themeFill="accent3" w:themeFillTint="33"/>
            <w:vAlign w:val="center"/>
          </w:tcPr>
          <w:p w14:paraId="0ECFD2B2" w14:textId="77777777" w:rsidR="00A51CD3" w:rsidRPr="00116667" w:rsidRDefault="00A51CD3" w:rsidP="00A51CD3">
            <w:pPr>
              <w:jc w:val="right"/>
              <w:rPr>
                <w:rFonts w:cstheme="minorHAnsi"/>
                <w:b/>
                <w:sz w:val="18"/>
                <w:szCs w:val="18"/>
              </w:rPr>
            </w:pPr>
            <w:r>
              <w:rPr>
                <w:rFonts w:cstheme="minorHAnsi"/>
                <w:b/>
                <w:sz w:val="18"/>
                <w:szCs w:val="18"/>
              </w:rPr>
              <w:t>Coordinator since 201</w:t>
            </w:r>
            <w:r w:rsidR="008B47E6">
              <w:rPr>
                <w:rFonts w:cstheme="minorHAnsi"/>
                <w:b/>
                <w:sz w:val="18"/>
                <w:szCs w:val="18"/>
              </w:rPr>
              <w:t>4</w:t>
            </w:r>
          </w:p>
        </w:tc>
      </w:tr>
    </w:tbl>
    <w:p w14:paraId="0CB3A5D1" w14:textId="77777777" w:rsidR="00E12EED" w:rsidRDefault="00E12EED" w:rsidP="00F61CCE">
      <w:pPr>
        <w:pStyle w:val="Heading2"/>
        <w:rPr>
          <w:noProof/>
          <w:lang w:eastAsia="en-GB"/>
        </w:rPr>
      </w:pPr>
    </w:p>
    <w:p w14:paraId="62ECF02E" w14:textId="77777777" w:rsidR="00E12EED" w:rsidRDefault="00E12EED" w:rsidP="00E12EED">
      <w:pPr>
        <w:pStyle w:val="Heading2"/>
        <w:rPr>
          <w:lang w:eastAsia="en-GB"/>
        </w:rPr>
      </w:pPr>
      <w:r>
        <w:rPr>
          <w:lang w:eastAsia="en-GB"/>
        </w:rPr>
        <w:t>Working Groups</w:t>
      </w:r>
    </w:p>
    <w:p w14:paraId="36C709D3" w14:textId="77777777" w:rsidR="00E12EED" w:rsidRDefault="001647BE" w:rsidP="00E12EED">
      <w:pPr>
        <w:rPr>
          <w:lang w:eastAsia="en-GB"/>
        </w:rPr>
      </w:pPr>
      <w:r>
        <w:rPr>
          <w:lang w:eastAsia="en-GB"/>
        </w:rPr>
        <w:t xml:space="preserve">Our partners </w:t>
      </w:r>
      <w:r w:rsidR="00DE3D5F">
        <w:rPr>
          <w:lang w:eastAsia="en-GB"/>
        </w:rPr>
        <w:t>help deliver</w:t>
      </w:r>
      <w:r>
        <w:rPr>
          <w:lang w:eastAsia="en-GB"/>
        </w:rPr>
        <w:t xml:space="preserve"> our </w:t>
      </w:r>
      <w:r w:rsidR="00DE3D5F">
        <w:rPr>
          <w:lang w:eastAsia="en-GB"/>
        </w:rPr>
        <w:t>strategic goals</w:t>
      </w:r>
      <w:r>
        <w:rPr>
          <w:lang w:eastAsia="en-GB"/>
        </w:rPr>
        <w:t xml:space="preserve"> </w:t>
      </w:r>
      <w:r w:rsidR="00DE3D5F">
        <w:rPr>
          <w:lang w:eastAsia="en-GB"/>
        </w:rPr>
        <w:t>by participating in</w:t>
      </w:r>
      <w:r>
        <w:rPr>
          <w:lang w:eastAsia="en-GB"/>
        </w:rPr>
        <w:t xml:space="preserve"> our working groups</w:t>
      </w:r>
      <w:r w:rsidR="00274152">
        <w:rPr>
          <w:lang w:eastAsia="en-GB"/>
        </w:rPr>
        <w:t xml:space="preserve">, which met regularly throughout </w:t>
      </w:r>
      <w:r w:rsidR="00EB4903">
        <w:rPr>
          <w:lang w:eastAsia="en-GB"/>
        </w:rPr>
        <w:t>2020-21</w:t>
      </w:r>
      <w:r w:rsidR="00274152">
        <w:rPr>
          <w:lang w:eastAsia="en-GB"/>
        </w:rPr>
        <w:t>.</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551"/>
        <w:gridCol w:w="2552"/>
        <w:gridCol w:w="2551"/>
      </w:tblGrid>
      <w:tr w:rsidR="00720186" w:rsidRPr="00D71476" w14:paraId="0CF37B7D" w14:textId="10D75467" w:rsidTr="006B42D2">
        <w:trPr>
          <w:trHeight w:val="20"/>
        </w:trPr>
        <w:tc>
          <w:tcPr>
            <w:tcW w:w="2552" w:type="dxa"/>
            <w:tcBorders>
              <w:bottom w:val="double" w:sz="4" w:space="0" w:color="089BA2" w:themeColor="accent3" w:themeShade="BF"/>
              <w:right w:val="double" w:sz="4" w:space="0" w:color="009DD9" w:themeColor="accent2"/>
            </w:tcBorders>
            <w:vAlign w:val="center"/>
          </w:tcPr>
          <w:p w14:paraId="0CD0B9D3" w14:textId="77777777" w:rsidR="00720186" w:rsidRPr="00D71476" w:rsidRDefault="00720186" w:rsidP="00C50738">
            <w:pPr>
              <w:spacing w:beforeLines="1" w:before="2"/>
              <w:rPr>
                <w:sz w:val="18"/>
                <w:szCs w:val="18"/>
                <w:lang w:eastAsia="en-GB"/>
              </w:rPr>
            </w:pPr>
            <w:r>
              <w:rPr>
                <w:rFonts w:cstheme="minorHAnsi"/>
                <w:b/>
                <w:bCs/>
                <w:sz w:val="18"/>
                <w:szCs w:val="18"/>
              </w:rPr>
              <w:t xml:space="preserve">DAC Working Group </w:t>
            </w:r>
          </w:p>
        </w:tc>
        <w:tc>
          <w:tcPr>
            <w:tcW w:w="2551" w:type="dxa"/>
            <w:tcBorders>
              <w:left w:val="double" w:sz="4" w:space="0" w:color="009DD9" w:themeColor="accent2"/>
              <w:bottom w:val="double" w:sz="4" w:space="0" w:color="089BA2" w:themeColor="accent3" w:themeShade="BF"/>
              <w:right w:val="double" w:sz="4" w:space="0" w:color="009DD9" w:themeColor="accent2"/>
            </w:tcBorders>
            <w:vAlign w:val="center"/>
          </w:tcPr>
          <w:p w14:paraId="3E7582C8" w14:textId="77777777" w:rsidR="00720186" w:rsidRPr="00D71476" w:rsidRDefault="00720186" w:rsidP="00C50738">
            <w:pPr>
              <w:spacing w:beforeLines="1" w:before="2"/>
              <w:rPr>
                <w:sz w:val="18"/>
                <w:szCs w:val="18"/>
                <w:lang w:eastAsia="en-GB"/>
              </w:rPr>
            </w:pPr>
            <w:r>
              <w:rPr>
                <w:rFonts w:cstheme="minorHAnsi"/>
                <w:b/>
                <w:bCs/>
                <w:sz w:val="18"/>
                <w:szCs w:val="18"/>
              </w:rPr>
              <w:t>Standards Working Group</w:t>
            </w:r>
          </w:p>
        </w:tc>
        <w:tc>
          <w:tcPr>
            <w:tcW w:w="2552" w:type="dxa"/>
            <w:tcBorders>
              <w:left w:val="double" w:sz="4" w:space="0" w:color="009DD9" w:themeColor="accent2"/>
              <w:bottom w:val="double" w:sz="4" w:space="0" w:color="089BA2" w:themeColor="accent3" w:themeShade="BF"/>
              <w:right w:val="double" w:sz="4" w:space="0" w:color="009DD9" w:themeColor="accent2"/>
            </w:tcBorders>
            <w:vAlign w:val="center"/>
          </w:tcPr>
          <w:p w14:paraId="3D271629" w14:textId="77777777" w:rsidR="00720186" w:rsidRPr="00546C37" w:rsidRDefault="00720186" w:rsidP="00C50738">
            <w:pPr>
              <w:spacing w:beforeLines="1" w:before="2"/>
              <w:rPr>
                <w:b/>
                <w:sz w:val="18"/>
                <w:szCs w:val="18"/>
                <w:lang w:eastAsia="en-GB"/>
              </w:rPr>
            </w:pPr>
            <w:r w:rsidRPr="00546C37">
              <w:rPr>
                <w:b/>
                <w:sz w:val="18"/>
                <w:szCs w:val="18"/>
                <w:lang w:eastAsia="en-GB"/>
              </w:rPr>
              <w:t>Portal Steering Group</w:t>
            </w:r>
          </w:p>
        </w:tc>
        <w:tc>
          <w:tcPr>
            <w:tcW w:w="2551" w:type="dxa"/>
            <w:tcBorders>
              <w:left w:val="double" w:sz="4" w:space="0" w:color="009DD9" w:themeColor="accent2"/>
              <w:bottom w:val="double" w:sz="4" w:space="0" w:color="089BA2" w:themeColor="accent3" w:themeShade="BF"/>
            </w:tcBorders>
          </w:tcPr>
          <w:p w14:paraId="2FCDB608" w14:textId="1B77193D" w:rsidR="00720186" w:rsidRPr="00546C37" w:rsidRDefault="00720186" w:rsidP="00C50738">
            <w:pPr>
              <w:spacing w:beforeLines="1" w:before="2"/>
              <w:rPr>
                <w:b/>
                <w:sz w:val="18"/>
                <w:szCs w:val="18"/>
                <w:lang w:eastAsia="en-GB"/>
              </w:rPr>
            </w:pPr>
            <w:r>
              <w:rPr>
                <w:b/>
                <w:sz w:val="18"/>
                <w:szCs w:val="18"/>
                <w:lang w:eastAsia="en-GB"/>
              </w:rPr>
              <w:t>Joint Working Group</w:t>
            </w:r>
          </w:p>
        </w:tc>
      </w:tr>
      <w:tr w:rsidR="00720186" w:rsidRPr="00D71476" w14:paraId="546587E7" w14:textId="01CD16BE" w:rsidTr="006B42D2">
        <w:trPr>
          <w:trHeight w:val="20"/>
        </w:trPr>
        <w:tc>
          <w:tcPr>
            <w:tcW w:w="2552" w:type="dxa"/>
            <w:tcBorders>
              <w:top w:val="double" w:sz="4" w:space="0" w:color="089BA2" w:themeColor="accent3" w:themeShade="BF"/>
              <w:right w:val="double" w:sz="4" w:space="0" w:color="009DD9" w:themeColor="accent2"/>
            </w:tcBorders>
            <w:vAlign w:val="center"/>
          </w:tcPr>
          <w:p w14:paraId="73D51C3C" w14:textId="2FF856F8" w:rsidR="00720186" w:rsidRPr="00D71476" w:rsidRDefault="00720186" w:rsidP="00720186">
            <w:pPr>
              <w:spacing w:beforeLines="1" w:before="2"/>
              <w:rPr>
                <w:sz w:val="18"/>
                <w:szCs w:val="18"/>
                <w:lang w:eastAsia="en-GB"/>
              </w:rPr>
            </w:pPr>
            <w:r>
              <w:rPr>
                <w:rFonts w:ascii="Calibri" w:hAnsi="Calibri" w:cs="Calibri"/>
                <w:color w:val="000000"/>
                <w:sz w:val="18"/>
                <w:szCs w:val="18"/>
              </w:rPr>
              <w:t>ADS</w:t>
            </w:r>
          </w:p>
        </w:tc>
        <w:tc>
          <w:tcPr>
            <w:tcW w:w="2551" w:type="dxa"/>
            <w:tcBorders>
              <w:top w:val="double" w:sz="4" w:space="0" w:color="089BA2" w:themeColor="accent3" w:themeShade="BF"/>
              <w:left w:val="double" w:sz="4" w:space="0" w:color="009DD9" w:themeColor="accent2"/>
              <w:right w:val="double" w:sz="4" w:space="0" w:color="009DD9" w:themeColor="accent2"/>
            </w:tcBorders>
            <w:vAlign w:val="center"/>
          </w:tcPr>
          <w:p w14:paraId="51A921FB" w14:textId="77777777" w:rsidR="00720186" w:rsidRPr="00D71476" w:rsidRDefault="00720186" w:rsidP="00720186">
            <w:pPr>
              <w:spacing w:beforeLines="1" w:before="2"/>
              <w:rPr>
                <w:sz w:val="18"/>
                <w:szCs w:val="18"/>
                <w:lang w:eastAsia="en-GB"/>
              </w:rPr>
            </w:pPr>
            <w:r>
              <w:rPr>
                <w:rFonts w:ascii="Calibri" w:hAnsi="Calibri" w:cs="Calibri"/>
                <w:color w:val="000000"/>
                <w:sz w:val="18"/>
                <w:szCs w:val="18"/>
              </w:rPr>
              <w:t>BGS</w:t>
            </w:r>
          </w:p>
        </w:tc>
        <w:tc>
          <w:tcPr>
            <w:tcW w:w="2552" w:type="dxa"/>
            <w:tcBorders>
              <w:top w:val="double" w:sz="4" w:space="0" w:color="089BA2" w:themeColor="accent3" w:themeShade="BF"/>
              <w:left w:val="double" w:sz="4" w:space="0" w:color="009DD9" w:themeColor="accent2"/>
              <w:right w:val="double" w:sz="4" w:space="0" w:color="009DD9" w:themeColor="accent2"/>
            </w:tcBorders>
            <w:vAlign w:val="center"/>
          </w:tcPr>
          <w:p w14:paraId="60898182" w14:textId="77777777" w:rsidR="00720186" w:rsidRPr="00D71476" w:rsidRDefault="00720186" w:rsidP="00720186">
            <w:pPr>
              <w:spacing w:beforeLines="1" w:before="2"/>
              <w:rPr>
                <w:sz w:val="18"/>
                <w:szCs w:val="18"/>
                <w:lang w:eastAsia="en-GB"/>
              </w:rPr>
            </w:pPr>
            <w:r>
              <w:rPr>
                <w:rFonts w:ascii="Calibri" w:hAnsi="Calibri" w:cs="Calibri"/>
                <w:color w:val="000000"/>
                <w:sz w:val="18"/>
                <w:szCs w:val="18"/>
              </w:rPr>
              <w:t>DASSH</w:t>
            </w:r>
          </w:p>
        </w:tc>
        <w:tc>
          <w:tcPr>
            <w:tcW w:w="2551" w:type="dxa"/>
            <w:tcBorders>
              <w:top w:val="double" w:sz="4" w:space="0" w:color="089BA2" w:themeColor="accent3" w:themeShade="BF"/>
              <w:left w:val="double" w:sz="4" w:space="0" w:color="009DD9" w:themeColor="accent2"/>
            </w:tcBorders>
            <w:vAlign w:val="center"/>
          </w:tcPr>
          <w:p w14:paraId="33EE3597" w14:textId="4784F53C" w:rsidR="00720186" w:rsidRPr="00720186" w:rsidRDefault="00720186" w:rsidP="00720186">
            <w:pPr>
              <w:contextualSpacing/>
              <w:rPr>
                <w:rFonts w:ascii="Calibri" w:hAnsi="Calibri" w:cs="Calibri"/>
                <w:color w:val="000000"/>
                <w:sz w:val="18"/>
                <w:szCs w:val="18"/>
              </w:rPr>
            </w:pPr>
            <w:r w:rsidRPr="00720186">
              <w:rPr>
                <w:rFonts w:ascii="Calibri" w:hAnsi="Calibri"/>
                <w:color w:val="000000"/>
                <w:sz w:val="18"/>
                <w:szCs w:val="18"/>
              </w:rPr>
              <w:t>ABPmer</w:t>
            </w:r>
          </w:p>
        </w:tc>
      </w:tr>
      <w:tr w:rsidR="00720186" w:rsidRPr="00D71476" w14:paraId="700FE1DF" w14:textId="548AAF08" w:rsidTr="006B42D2">
        <w:trPr>
          <w:trHeight w:val="20"/>
        </w:trPr>
        <w:tc>
          <w:tcPr>
            <w:tcW w:w="2552" w:type="dxa"/>
            <w:tcBorders>
              <w:right w:val="double" w:sz="4" w:space="0" w:color="009DD9" w:themeColor="accent2"/>
            </w:tcBorders>
            <w:vAlign w:val="center"/>
          </w:tcPr>
          <w:p w14:paraId="561B9437" w14:textId="12E2CF89" w:rsidR="00720186" w:rsidRPr="00D71476" w:rsidRDefault="00720186" w:rsidP="00720186">
            <w:pPr>
              <w:spacing w:beforeLines="1" w:before="2"/>
              <w:rPr>
                <w:sz w:val="18"/>
                <w:szCs w:val="18"/>
                <w:lang w:eastAsia="en-GB"/>
              </w:rPr>
            </w:pPr>
            <w:r>
              <w:rPr>
                <w:rFonts w:ascii="Calibri" w:hAnsi="Calibri" w:cs="Calibri"/>
                <w:color w:val="000000"/>
                <w:sz w:val="18"/>
                <w:szCs w:val="18"/>
              </w:rPr>
              <w:t>BGS</w:t>
            </w:r>
          </w:p>
        </w:tc>
        <w:tc>
          <w:tcPr>
            <w:tcW w:w="2551" w:type="dxa"/>
            <w:tcBorders>
              <w:left w:val="double" w:sz="4" w:space="0" w:color="009DD9" w:themeColor="accent2"/>
              <w:right w:val="double" w:sz="4" w:space="0" w:color="009DD9" w:themeColor="accent2"/>
            </w:tcBorders>
            <w:vAlign w:val="center"/>
          </w:tcPr>
          <w:p w14:paraId="7B11E003" w14:textId="77777777" w:rsidR="00720186" w:rsidRPr="00D71476" w:rsidRDefault="00720186" w:rsidP="00720186">
            <w:pPr>
              <w:spacing w:beforeLines="1" w:before="2"/>
              <w:rPr>
                <w:sz w:val="18"/>
                <w:szCs w:val="18"/>
                <w:lang w:eastAsia="en-GB"/>
              </w:rPr>
            </w:pPr>
            <w:r>
              <w:rPr>
                <w:rFonts w:ascii="Calibri" w:hAnsi="Calibri" w:cs="Calibri"/>
                <w:color w:val="000000"/>
                <w:sz w:val="18"/>
                <w:szCs w:val="18"/>
              </w:rPr>
              <w:t>BODC</w:t>
            </w:r>
          </w:p>
        </w:tc>
        <w:tc>
          <w:tcPr>
            <w:tcW w:w="2552" w:type="dxa"/>
            <w:tcBorders>
              <w:left w:val="double" w:sz="4" w:space="0" w:color="009DD9" w:themeColor="accent2"/>
              <w:right w:val="double" w:sz="4" w:space="0" w:color="009DD9" w:themeColor="accent2"/>
            </w:tcBorders>
            <w:vAlign w:val="center"/>
          </w:tcPr>
          <w:p w14:paraId="77CBD1B7" w14:textId="77777777" w:rsidR="00720186" w:rsidRPr="00D71476" w:rsidRDefault="00720186" w:rsidP="00720186">
            <w:pPr>
              <w:spacing w:beforeLines="1" w:before="2"/>
              <w:rPr>
                <w:sz w:val="18"/>
                <w:szCs w:val="18"/>
                <w:lang w:eastAsia="en-GB"/>
              </w:rPr>
            </w:pPr>
            <w:r>
              <w:rPr>
                <w:rFonts w:ascii="Calibri" w:hAnsi="Calibri" w:cs="Calibri"/>
                <w:color w:val="000000"/>
                <w:sz w:val="18"/>
                <w:szCs w:val="18"/>
              </w:rPr>
              <w:t>Marine Scotland</w:t>
            </w:r>
          </w:p>
        </w:tc>
        <w:tc>
          <w:tcPr>
            <w:tcW w:w="2551" w:type="dxa"/>
            <w:tcBorders>
              <w:left w:val="double" w:sz="4" w:space="0" w:color="009DD9" w:themeColor="accent2"/>
            </w:tcBorders>
            <w:vAlign w:val="center"/>
          </w:tcPr>
          <w:p w14:paraId="6769BA31" w14:textId="4BE4AFA5" w:rsidR="00720186" w:rsidRPr="00720186" w:rsidRDefault="00720186" w:rsidP="00720186">
            <w:pPr>
              <w:contextualSpacing/>
              <w:rPr>
                <w:rFonts w:ascii="Calibri" w:hAnsi="Calibri" w:cs="Calibri"/>
                <w:color w:val="000000"/>
                <w:sz w:val="18"/>
                <w:szCs w:val="18"/>
              </w:rPr>
            </w:pPr>
            <w:r w:rsidRPr="00720186">
              <w:rPr>
                <w:rFonts w:ascii="Calibri" w:hAnsi="Calibri"/>
                <w:color w:val="000000"/>
                <w:sz w:val="18"/>
                <w:szCs w:val="18"/>
              </w:rPr>
              <w:t>ADS</w:t>
            </w:r>
          </w:p>
        </w:tc>
      </w:tr>
      <w:tr w:rsidR="00720186" w:rsidRPr="00D71476" w14:paraId="59419B89" w14:textId="5E18E668" w:rsidTr="006B42D2">
        <w:trPr>
          <w:trHeight w:val="20"/>
        </w:trPr>
        <w:tc>
          <w:tcPr>
            <w:tcW w:w="2552" w:type="dxa"/>
            <w:tcBorders>
              <w:right w:val="double" w:sz="4" w:space="0" w:color="009DD9" w:themeColor="accent2"/>
            </w:tcBorders>
            <w:vAlign w:val="center"/>
          </w:tcPr>
          <w:p w14:paraId="2C591376" w14:textId="1E986421" w:rsidR="00720186" w:rsidRPr="00D71476" w:rsidRDefault="00720186" w:rsidP="00720186">
            <w:pPr>
              <w:spacing w:beforeLines="1" w:before="2"/>
              <w:rPr>
                <w:sz w:val="18"/>
                <w:szCs w:val="18"/>
                <w:lang w:eastAsia="en-GB"/>
              </w:rPr>
            </w:pPr>
            <w:r>
              <w:rPr>
                <w:rFonts w:ascii="Calibri" w:hAnsi="Calibri" w:cs="Calibri"/>
                <w:color w:val="000000"/>
                <w:sz w:val="18"/>
                <w:szCs w:val="18"/>
              </w:rPr>
              <w:t>BODC</w:t>
            </w:r>
          </w:p>
        </w:tc>
        <w:tc>
          <w:tcPr>
            <w:tcW w:w="2551" w:type="dxa"/>
            <w:tcBorders>
              <w:left w:val="double" w:sz="4" w:space="0" w:color="009DD9" w:themeColor="accent2"/>
              <w:right w:val="double" w:sz="4" w:space="0" w:color="009DD9" w:themeColor="accent2"/>
            </w:tcBorders>
            <w:vAlign w:val="center"/>
          </w:tcPr>
          <w:p w14:paraId="704C5B9F" w14:textId="77777777" w:rsidR="00720186" w:rsidRPr="00D71476" w:rsidRDefault="00720186" w:rsidP="00720186">
            <w:pPr>
              <w:spacing w:beforeLines="1" w:before="2"/>
              <w:rPr>
                <w:sz w:val="18"/>
                <w:szCs w:val="18"/>
                <w:lang w:eastAsia="en-GB"/>
              </w:rPr>
            </w:pPr>
            <w:r>
              <w:rPr>
                <w:rFonts w:ascii="Calibri" w:hAnsi="Calibri" w:cs="Calibri"/>
                <w:color w:val="000000"/>
                <w:sz w:val="18"/>
                <w:szCs w:val="18"/>
              </w:rPr>
              <w:t>Cefas</w:t>
            </w:r>
          </w:p>
        </w:tc>
        <w:tc>
          <w:tcPr>
            <w:tcW w:w="2552" w:type="dxa"/>
            <w:tcBorders>
              <w:left w:val="double" w:sz="4" w:space="0" w:color="009DD9" w:themeColor="accent2"/>
              <w:right w:val="double" w:sz="4" w:space="0" w:color="009DD9" w:themeColor="accent2"/>
            </w:tcBorders>
            <w:vAlign w:val="center"/>
          </w:tcPr>
          <w:p w14:paraId="3C63E716" w14:textId="77777777" w:rsidR="00720186" w:rsidRPr="00D71476" w:rsidRDefault="00720186" w:rsidP="00720186">
            <w:pPr>
              <w:spacing w:beforeLines="1" w:before="2"/>
              <w:rPr>
                <w:sz w:val="18"/>
                <w:szCs w:val="18"/>
                <w:lang w:eastAsia="en-GB"/>
              </w:rPr>
            </w:pPr>
            <w:r>
              <w:rPr>
                <w:rFonts w:ascii="Calibri" w:hAnsi="Calibri" w:cs="Calibri"/>
                <w:color w:val="000000"/>
                <w:sz w:val="18"/>
                <w:szCs w:val="18"/>
              </w:rPr>
              <w:t>NRW</w:t>
            </w:r>
          </w:p>
        </w:tc>
        <w:tc>
          <w:tcPr>
            <w:tcW w:w="2551" w:type="dxa"/>
            <w:tcBorders>
              <w:left w:val="double" w:sz="4" w:space="0" w:color="009DD9" w:themeColor="accent2"/>
            </w:tcBorders>
            <w:vAlign w:val="center"/>
          </w:tcPr>
          <w:p w14:paraId="7C4C003D" w14:textId="083B5A24" w:rsidR="00720186" w:rsidRPr="00720186" w:rsidRDefault="00720186" w:rsidP="00720186">
            <w:pPr>
              <w:contextualSpacing/>
              <w:rPr>
                <w:rFonts w:ascii="Calibri" w:hAnsi="Calibri" w:cs="Calibri"/>
                <w:color w:val="000000"/>
                <w:sz w:val="18"/>
                <w:szCs w:val="18"/>
              </w:rPr>
            </w:pPr>
            <w:r w:rsidRPr="00720186">
              <w:rPr>
                <w:rFonts w:ascii="Calibri" w:hAnsi="Calibri"/>
                <w:color w:val="000000"/>
                <w:sz w:val="18"/>
                <w:szCs w:val="18"/>
              </w:rPr>
              <w:t>BGS</w:t>
            </w:r>
          </w:p>
        </w:tc>
      </w:tr>
      <w:tr w:rsidR="00720186" w:rsidRPr="00D71476" w14:paraId="4233ABBF" w14:textId="0AB229E9" w:rsidTr="006B42D2">
        <w:trPr>
          <w:trHeight w:val="20"/>
        </w:trPr>
        <w:tc>
          <w:tcPr>
            <w:tcW w:w="2552" w:type="dxa"/>
            <w:tcBorders>
              <w:right w:val="double" w:sz="4" w:space="0" w:color="009DD9" w:themeColor="accent2"/>
            </w:tcBorders>
            <w:vAlign w:val="center"/>
          </w:tcPr>
          <w:p w14:paraId="44F8B15C" w14:textId="5745FA10" w:rsidR="00720186" w:rsidRPr="00D71476" w:rsidRDefault="00720186" w:rsidP="00720186">
            <w:pPr>
              <w:spacing w:beforeLines="1" w:before="2"/>
              <w:rPr>
                <w:sz w:val="18"/>
                <w:szCs w:val="18"/>
                <w:lang w:eastAsia="en-GB"/>
              </w:rPr>
            </w:pPr>
            <w:r>
              <w:rPr>
                <w:rFonts w:ascii="Calibri" w:hAnsi="Calibri" w:cs="Calibri"/>
                <w:color w:val="000000"/>
                <w:sz w:val="18"/>
                <w:szCs w:val="18"/>
              </w:rPr>
              <w:t>Cefas)</w:t>
            </w:r>
          </w:p>
        </w:tc>
        <w:tc>
          <w:tcPr>
            <w:tcW w:w="2551" w:type="dxa"/>
            <w:tcBorders>
              <w:left w:val="double" w:sz="4" w:space="0" w:color="009DD9" w:themeColor="accent2"/>
              <w:right w:val="double" w:sz="4" w:space="0" w:color="009DD9" w:themeColor="accent2"/>
            </w:tcBorders>
            <w:vAlign w:val="center"/>
          </w:tcPr>
          <w:p w14:paraId="13B8E10E" w14:textId="77777777" w:rsidR="00720186" w:rsidRPr="00D71476" w:rsidRDefault="00720186" w:rsidP="00720186">
            <w:pPr>
              <w:spacing w:beforeLines="1" w:before="2"/>
              <w:rPr>
                <w:sz w:val="18"/>
                <w:szCs w:val="18"/>
                <w:lang w:eastAsia="en-GB"/>
              </w:rPr>
            </w:pPr>
            <w:r>
              <w:rPr>
                <w:rFonts w:ascii="Calibri" w:hAnsi="Calibri" w:cs="Calibri"/>
                <w:color w:val="000000"/>
                <w:sz w:val="18"/>
                <w:szCs w:val="18"/>
              </w:rPr>
              <w:t>DASSH</w:t>
            </w:r>
          </w:p>
        </w:tc>
        <w:tc>
          <w:tcPr>
            <w:tcW w:w="2552" w:type="dxa"/>
            <w:tcBorders>
              <w:left w:val="double" w:sz="4" w:space="0" w:color="009DD9" w:themeColor="accent2"/>
              <w:right w:val="double" w:sz="4" w:space="0" w:color="009DD9" w:themeColor="accent2"/>
            </w:tcBorders>
            <w:vAlign w:val="center"/>
          </w:tcPr>
          <w:p w14:paraId="369E8644" w14:textId="77777777" w:rsidR="00720186" w:rsidRPr="00D71476" w:rsidRDefault="00720186" w:rsidP="00720186">
            <w:pPr>
              <w:spacing w:beforeLines="1" w:before="2"/>
              <w:rPr>
                <w:sz w:val="18"/>
                <w:szCs w:val="18"/>
                <w:lang w:eastAsia="en-GB"/>
              </w:rPr>
            </w:pPr>
            <w:r>
              <w:rPr>
                <w:rFonts w:ascii="Calibri" w:hAnsi="Calibri" w:cs="Calibri"/>
                <w:color w:val="000000"/>
                <w:sz w:val="18"/>
                <w:szCs w:val="18"/>
              </w:rPr>
              <w:t>OceanWise</w:t>
            </w:r>
          </w:p>
        </w:tc>
        <w:tc>
          <w:tcPr>
            <w:tcW w:w="2551" w:type="dxa"/>
            <w:tcBorders>
              <w:left w:val="double" w:sz="4" w:space="0" w:color="009DD9" w:themeColor="accent2"/>
            </w:tcBorders>
            <w:vAlign w:val="center"/>
          </w:tcPr>
          <w:p w14:paraId="6FFE8BF6" w14:textId="1124DAAC" w:rsidR="00720186" w:rsidRPr="00720186" w:rsidRDefault="00720186" w:rsidP="00720186">
            <w:pPr>
              <w:contextualSpacing/>
              <w:rPr>
                <w:rFonts w:ascii="Calibri" w:hAnsi="Calibri" w:cs="Calibri"/>
                <w:color w:val="000000"/>
                <w:sz w:val="18"/>
                <w:szCs w:val="18"/>
              </w:rPr>
            </w:pPr>
            <w:r w:rsidRPr="00720186">
              <w:rPr>
                <w:rFonts w:ascii="Calibri" w:hAnsi="Calibri"/>
                <w:color w:val="000000"/>
                <w:sz w:val="18"/>
                <w:szCs w:val="18"/>
              </w:rPr>
              <w:t>BODC</w:t>
            </w:r>
          </w:p>
        </w:tc>
      </w:tr>
      <w:tr w:rsidR="00720186" w:rsidRPr="00D71476" w14:paraId="395404F9" w14:textId="134C3EAD" w:rsidTr="006B42D2">
        <w:trPr>
          <w:trHeight w:val="20"/>
        </w:trPr>
        <w:tc>
          <w:tcPr>
            <w:tcW w:w="2552" w:type="dxa"/>
            <w:tcBorders>
              <w:right w:val="double" w:sz="4" w:space="0" w:color="009DD9" w:themeColor="accent2"/>
            </w:tcBorders>
            <w:vAlign w:val="center"/>
          </w:tcPr>
          <w:p w14:paraId="5350A291" w14:textId="77777777" w:rsidR="00720186" w:rsidRPr="00D71476" w:rsidRDefault="00720186" w:rsidP="00720186">
            <w:pPr>
              <w:spacing w:beforeLines="1" w:before="2"/>
              <w:rPr>
                <w:sz w:val="18"/>
                <w:szCs w:val="18"/>
                <w:lang w:eastAsia="en-GB"/>
              </w:rPr>
            </w:pPr>
            <w:r>
              <w:rPr>
                <w:rFonts w:ascii="Calibri" w:hAnsi="Calibri" w:cs="Calibri"/>
                <w:color w:val="000000"/>
                <w:sz w:val="18"/>
                <w:szCs w:val="18"/>
              </w:rPr>
              <w:t>DASSH</w:t>
            </w:r>
          </w:p>
        </w:tc>
        <w:tc>
          <w:tcPr>
            <w:tcW w:w="2551" w:type="dxa"/>
            <w:tcBorders>
              <w:left w:val="double" w:sz="4" w:space="0" w:color="009DD9" w:themeColor="accent2"/>
              <w:right w:val="double" w:sz="4" w:space="0" w:color="009DD9" w:themeColor="accent2"/>
            </w:tcBorders>
            <w:vAlign w:val="center"/>
          </w:tcPr>
          <w:p w14:paraId="577968E5" w14:textId="1A499DEC" w:rsidR="00720186" w:rsidRPr="00D71476" w:rsidRDefault="00720186" w:rsidP="00720186">
            <w:pPr>
              <w:spacing w:beforeLines="1" w:before="2"/>
              <w:rPr>
                <w:sz w:val="18"/>
                <w:szCs w:val="18"/>
                <w:lang w:eastAsia="en-GB"/>
              </w:rPr>
            </w:pPr>
            <w:r>
              <w:rPr>
                <w:rFonts w:ascii="Calibri" w:hAnsi="Calibri" w:cs="Calibri"/>
                <w:color w:val="000000"/>
                <w:sz w:val="18"/>
                <w:szCs w:val="18"/>
              </w:rPr>
              <w:t>JNCC</w:t>
            </w:r>
          </w:p>
        </w:tc>
        <w:tc>
          <w:tcPr>
            <w:tcW w:w="2552" w:type="dxa"/>
            <w:tcBorders>
              <w:left w:val="double" w:sz="4" w:space="0" w:color="009DD9" w:themeColor="accent2"/>
              <w:right w:val="double" w:sz="4" w:space="0" w:color="009DD9" w:themeColor="accent2"/>
            </w:tcBorders>
            <w:vAlign w:val="center"/>
          </w:tcPr>
          <w:p w14:paraId="67B9F953" w14:textId="77777777" w:rsidR="00720186" w:rsidRPr="00D71476" w:rsidRDefault="00720186" w:rsidP="00720186">
            <w:pPr>
              <w:spacing w:beforeLines="1" w:before="2"/>
              <w:rPr>
                <w:sz w:val="18"/>
                <w:szCs w:val="18"/>
                <w:lang w:eastAsia="en-GB"/>
              </w:rPr>
            </w:pPr>
            <w:r>
              <w:rPr>
                <w:rFonts w:ascii="Calibri" w:hAnsi="Calibri" w:cs="Calibri"/>
                <w:color w:val="000000"/>
                <w:sz w:val="18"/>
                <w:szCs w:val="18"/>
              </w:rPr>
              <w:t>UKHO</w:t>
            </w:r>
          </w:p>
        </w:tc>
        <w:tc>
          <w:tcPr>
            <w:tcW w:w="2551" w:type="dxa"/>
            <w:tcBorders>
              <w:left w:val="double" w:sz="4" w:space="0" w:color="009DD9" w:themeColor="accent2"/>
            </w:tcBorders>
            <w:vAlign w:val="center"/>
          </w:tcPr>
          <w:p w14:paraId="6F0D324F" w14:textId="7E8A1378" w:rsidR="00720186" w:rsidRPr="00720186" w:rsidRDefault="00720186" w:rsidP="00720186">
            <w:pPr>
              <w:contextualSpacing/>
              <w:rPr>
                <w:rFonts w:ascii="Calibri" w:hAnsi="Calibri" w:cs="Calibri"/>
                <w:color w:val="000000"/>
                <w:sz w:val="18"/>
                <w:szCs w:val="18"/>
              </w:rPr>
            </w:pPr>
            <w:r w:rsidRPr="00720186">
              <w:rPr>
                <w:rFonts w:ascii="Calibri" w:hAnsi="Calibri"/>
                <w:color w:val="000000"/>
                <w:sz w:val="18"/>
                <w:szCs w:val="18"/>
              </w:rPr>
              <w:t>Cefas</w:t>
            </w:r>
          </w:p>
        </w:tc>
      </w:tr>
      <w:tr w:rsidR="00DE5F4B" w:rsidRPr="00D71476" w14:paraId="2B5B126C" w14:textId="684FFB21" w:rsidTr="006B42D2">
        <w:trPr>
          <w:trHeight w:val="20"/>
        </w:trPr>
        <w:tc>
          <w:tcPr>
            <w:tcW w:w="2552" w:type="dxa"/>
            <w:tcBorders>
              <w:right w:val="double" w:sz="4" w:space="0" w:color="009DD9" w:themeColor="accent2"/>
            </w:tcBorders>
            <w:vAlign w:val="center"/>
          </w:tcPr>
          <w:p w14:paraId="674F8BC9" w14:textId="19B603E5" w:rsidR="00DE5F4B" w:rsidRPr="00D71476" w:rsidRDefault="00DE5F4B" w:rsidP="00DE5F4B">
            <w:pPr>
              <w:spacing w:beforeLines="1" w:before="2"/>
              <w:rPr>
                <w:sz w:val="18"/>
                <w:szCs w:val="18"/>
                <w:lang w:eastAsia="en-GB"/>
              </w:rPr>
            </w:pPr>
            <w:r>
              <w:rPr>
                <w:rFonts w:ascii="Calibri" w:hAnsi="Calibri" w:cs="Calibri"/>
                <w:color w:val="000000"/>
                <w:sz w:val="18"/>
                <w:szCs w:val="18"/>
              </w:rPr>
              <w:t>Historic Environment Scotland</w:t>
            </w:r>
          </w:p>
        </w:tc>
        <w:tc>
          <w:tcPr>
            <w:tcW w:w="2551" w:type="dxa"/>
            <w:tcBorders>
              <w:left w:val="double" w:sz="4" w:space="0" w:color="009DD9" w:themeColor="accent2"/>
              <w:right w:val="double" w:sz="4" w:space="0" w:color="009DD9" w:themeColor="accent2"/>
            </w:tcBorders>
            <w:vAlign w:val="center"/>
          </w:tcPr>
          <w:p w14:paraId="71B29B39" w14:textId="69EE956E" w:rsidR="00DE5F4B" w:rsidRPr="00D71476" w:rsidRDefault="00DE5F4B" w:rsidP="00DE5F4B">
            <w:pPr>
              <w:spacing w:beforeLines="1" w:before="2"/>
              <w:rPr>
                <w:sz w:val="18"/>
                <w:szCs w:val="18"/>
                <w:lang w:eastAsia="en-GB"/>
              </w:rPr>
            </w:pPr>
            <w:r>
              <w:rPr>
                <w:rFonts w:ascii="Calibri" w:hAnsi="Calibri" w:cs="Calibri"/>
                <w:color w:val="000000"/>
                <w:sz w:val="18"/>
                <w:szCs w:val="18"/>
              </w:rPr>
              <w:t>NRW</w:t>
            </w:r>
          </w:p>
        </w:tc>
        <w:tc>
          <w:tcPr>
            <w:tcW w:w="2552" w:type="dxa"/>
            <w:tcBorders>
              <w:left w:val="double" w:sz="4" w:space="0" w:color="009DD9" w:themeColor="accent2"/>
              <w:right w:val="double" w:sz="4" w:space="0" w:color="009DD9" w:themeColor="accent2"/>
            </w:tcBorders>
            <w:vAlign w:val="center"/>
          </w:tcPr>
          <w:p w14:paraId="6BF9C78D" w14:textId="4E2C9A81" w:rsidR="00DE5F4B" w:rsidRPr="00D71476" w:rsidRDefault="00DE5F4B" w:rsidP="00DE5F4B">
            <w:pPr>
              <w:spacing w:beforeLines="1" w:before="2"/>
              <w:rPr>
                <w:sz w:val="18"/>
                <w:szCs w:val="18"/>
                <w:lang w:eastAsia="en-GB"/>
              </w:rPr>
            </w:pPr>
            <w:r>
              <w:rPr>
                <w:sz w:val="18"/>
                <w:szCs w:val="18"/>
                <w:lang w:eastAsia="en-GB"/>
              </w:rPr>
              <w:t>Uni</w:t>
            </w:r>
            <w:r w:rsidR="00291992">
              <w:rPr>
                <w:sz w:val="18"/>
                <w:szCs w:val="18"/>
                <w:lang w:eastAsia="en-GB"/>
              </w:rPr>
              <w:t>. of</w:t>
            </w:r>
            <w:r>
              <w:rPr>
                <w:sz w:val="18"/>
                <w:szCs w:val="18"/>
                <w:lang w:eastAsia="en-GB"/>
              </w:rPr>
              <w:t xml:space="preserve"> Edinburgh</w:t>
            </w:r>
          </w:p>
        </w:tc>
        <w:tc>
          <w:tcPr>
            <w:tcW w:w="2551" w:type="dxa"/>
            <w:tcBorders>
              <w:left w:val="double" w:sz="4" w:space="0" w:color="009DD9" w:themeColor="accent2"/>
            </w:tcBorders>
            <w:vAlign w:val="center"/>
          </w:tcPr>
          <w:p w14:paraId="5F6219B2" w14:textId="033E9EF8" w:rsidR="00DE5F4B" w:rsidRPr="00720186" w:rsidRDefault="00DE5F4B" w:rsidP="00DE5F4B">
            <w:pPr>
              <w:contextualSpacing/>
              <w:rPr>
                <w:sz w:val="18"/>
                <w:szCs w:val="18"/>
                <w:lang w:eastAsia="en-GB"/>
              </w:rPr>
            </w:pPr>
            <w:r w:rsidRPr="00720186">
              <w:rPr>
                <w:rFonts w:ascii="Calibri" w:hAnsi="Calibri"/>
                <w:color w:val="000000"/>
                <w:sz w:val="18"/>
                <w:szCs w:val="18"/>
              </w:rPr>
              <w:t>DASSH</w:t>
            </w:r>
          </w:p>
        </w:tc>
      </w:tr>
      <w:tr w:rsidR="00DE5F4B" w:rsidRPr="00D71476" w14:paraId="7DBD3992" w14:textId="5180B368" w:rsidTr="006B42D2">
        <w:trPr>
          <w:trHeight w:val="20"/>
        </w:trPr>
        <w:tc>
          <w:tcPr>
            <w:tcW w:w="2552" w:type="dxa"/>
            <w:tcBorders>
              <w:right w:val="double" w:sz="4" w:space="0" w:color="009DD9" w:themeColor="accent2"/>
            </w:tcBorders>
            <w:vAlign w:val="center"/>
          </w:tcPr>
          <w:p w14:paraId="5FDE7720" w14:textId="76C01BD0" w:rsidR="00DE5F4B" w:rsidRPr="00D71476" w:rsidRDefault="00DE5F4B" w:rsidP="00DE5F4B">
            <w:pPr>
              <w:spacing w:beforeLines="1" w:before="2"/>
              <w:rPr>
                <w:sz w:val="18"/>
                <w:szCs w:val="18"/>
                <w:lang w:eastAsia="en-GB"/>
              </w:rPr>
            </w:pPr>
            <w:r>
              <w:rPr>
                <w:rFonts w:ascii="Calibri" w:hAnsi="Calibri" w:cs="Calibri"/>
                <w:color w:val="000000"/>
                <w:sz w:val="18"/>
                <w:szCs w:val="18"/>
              </w:rPr>
              <w:t>Marine Scotland</w:t>
            </w:r>
          </w:p>
        </w:tc>
        <w:tc>
          <w:tcPr>
            <w:tcW w:w="2551" w:type="dxa"/>
            <w:tcBorders>
              <w:left w:val="double" w:sz="4" w:space="0" w:color="009DD9" w:themeColor="accent2"/>
              <w:right w:val="double" w:sz="4" w:space="0" w:color="009DD9" w:themeColor="accent2"/>
            </w:tcBorders>
            <w:vAlign w:val="center"/>
          </w:tcPr>
          <w:p w14:paraId="748CE1CF" w14:textId="77777777" w:rsidR="00DE5F4B" w:rsidRPr="00D71476" w:rsidRDefault="00DE5F4B" w:rsidP="00DE5F4B">
            <w:pPr>
              <w:spacing w:beforeLines="1" w:before="2"/>
              <w:rPr>
                <w:sz w:val="18"/>
                <w:szCs w:val="18"/>
                <w:lang w:eastAsia="en-GB"/>
              </w:rPr>
            </w:pPr>
            <w:r>
              <w:rPr>
                <w:rFonts w:ascii="Calibri" w:hAnsi="Calibri" w:cs="Calibri"/>
                <w:color w:val="000000"/>
                <w:sz w:val="18"/>
                <w:szCs w:val="18"/>
              </w:rPr>
              <w:t>OceanWise</w:t>
            </w:r>
          </w:p>
        </w:tc>
        <w:tc>
          <w:tcPr>
            <w:tcW w:w="2552" w:type="dxa"/>
            <w:tcBorders>
              <w:left w:val="double" w:sz="4" w:space="0" w:color="009DD9" w:themeColor="accent2"/>
              <w:right w:val="double" w:sz="4" w:space="0" w:color="009DD9" w:themeColor="accent2"/>
            </w:tcBorders>
            <w:vAlign w:val="center"/>
          </w:tcPr>
          <w:p w14:paraId="5BBFC493" w14:textId="77777777" w:rsidR="00DE5F4B" w:rsidRPr="00D71476" w:rsidRDefault="00DE5F4B" w:rsidP="00DE5F4B">
            <w:pPr>
              <w:spacing w:beforeLines="1" w:before="2"/>
              <w:rPr>
                <w:sz w:val="18"/>
                <w:szCs w:val="18"/>
                <w:lang w:eastAsia="en-GB"/>
              </w:rPr>
            </w:pPr>
          </w:p>
        </w:tc>
        <w:tc>
          <w:tcPr>
            <w:tcW w:w="2551" w:type="dxa"/>
            <w:tcBorders>
              <w:left w:val="double" w:sz="4" w:space="0" w:color="009DD9" w:themeColor="accent2"/>
            </w:tcBorders>
            <w:vAlign w:val="center"/>
          </w:tcPr>
          <w:p w14:paraId="516F6C48" w14:textId="09F83F93" w:rsidR="00DE5F4B" w:rsidRPr="00720186" w:rsidRDefault="00DE5F4B" w:rsidP="00DE5F4B">
            <w:pPr>
              <w:contextualSpacing/>
              <w:rPr>
                <w:sz w:val="18"/>
                <w:szCs w:val="18"/>
                <w:lang w:eastAsia="en-GB"/>
              </w:rPr>
            </w:pPr>
            <w:r w:rsidRPr="00720186">
              <w:rPr>
                <w:rFonts w:ascii="Calibri" w:hAnsi="Calibri"/>
                <w:color w:val="000000"/>
                <w:sz w:val="18"/>
                <w:szCs w:val="18"/>
              </w:rPr>
              <w:t>Historic Environment Scotland</w:t>
            </w:r>
          </w:p>
        </w:tc>
      </w:tr>
      <w:tr w:rsidR="00DE5F4B" w:rsidRPr="00D71476" w14:paraId="443BCFD4" w14:textId="3A99D548" w:rsidTr="006B42D2">
        <w:trPr>
          <w:trHeight w:val="20"/>
        </w:trPr>
        <w:tc>
          <w:tcPr>
            <w:tcW w:w="2552" w:type="dxa"/>
            <w:tcBorders>
              <w:right w:val="double" w:sz="4" w:space="0" w:color="009DD9" w:themeColor="accent2"/>
            </w:tcBorders>
            <w:vAlign w:val="center"/>
          </w:tcPr>
          <w:p w14:paraId="5F56957E" w14:textId="42F80089" w:rsidR="00DE5F4B" w:rsidRDefault="00DE5F4B" w:rsidP="00DE5F4B">
            <w:pPr>
              <w:spacing w:beforeLines="1" w:before="2"/>
              <w:rPr>
                <w:sz w:val="18"/>
                <w:szCs w:val="18"/>
                <w:lang w:eastAsia="en-GB"/>
              </w:rPr>
            </w:pPr>
            <w:r>
              <w:rPr>
                <w:rFonts w:ascii="Calibri" w:hAnsi="Calibri" w:cs="Calibri"/>
                <w:color w:val="000000"/>
                <w:sz w:val="18"/>
                <w:szCs w:val="18"/>
              </w:rPr>
              <w:t>Met Office</w:t>
            </w:r>
          </w:p>
        </w:tc>
        <w:tc>
          <w:tcPr>
            <w:tcW w:w="2551" w:type="dxa"/>
            <w:tcBorders>
              <w:left w:val="double" w:sz="4" w:space="0" w:color="009DD9" w:themeColor="accent2"/>
              <w:right w:val="double" w:sz="4" w:space="0" w:color="009DD9" w:themeColor="accent2"/>
            </w:tcBorders>
            <w:vAlign w:val="center"/>
          </w:tcPr>
          <w:p w14:paraId="17B1DB91" w14:textId="6B9272F3" w:rsidR="00DE5F4B" w:rsidRPr="00D71476" w:rsidRDefault="004A33F5" w:rsidP="00DE5F4B">
            <w:pPr>
              <w:spacing w:beforeLines="1" w:before="2"/>
              <w:rPr>
                <w:sz w:val="18"/>
                <w:szCs w:val="18"/>
                <w:lang w:eastAsia="en-GB"/>
              </w:rPr>
            </w:pPr>
            <w:r>
              <w:rPr>
                <w:rFonts w:ascii="Calibri" w:hAnsi="Calibri" w:cs="Calibri"/>
                <w:color w:val="000000"/>
                <w:sz w:val="18"/>
                <w:szCs w:val="18"/>
              </w:rPr>
              <w:t>SAMS</w:t>
            </w:r>
            <w:r w:rsidR="00DE5F4B">
              <w:rPr>
                <w:rFonts w:ascii="Calibri" w:hAnsi="Calibri" w:cs="Calibri"/>
                <w:color w:val="000000"/>
                <w:sz w:val="18"/>
                <w:szCs w:val="18"/>
              </w:rPr>
              <w:t xml:space="preserve"> </w:t>
            </w:r>
          </w:p>
        </w:tc>
        <w:tc>
          <w:tcPr>
            <w:tcW w:w="2552" w:type="dxa"/>
            <w:tcBorders>
              <w:left w:val="double" w:sz="4" w:space="0" w:color="009DD9" w:themeColor="accent2"/>
              <w:right w:val="double" w:sz="4" w:space="0" w:color="009DD9" w:themeColor="accent2"/>
            </w:tcBorders>
            <w:vAlign w:val="center"/>
          </w:tcPr>
          <w:p w14:paraId="1D410685" w14:textId="77777777" w:rsidR="00DE5F4B" w:rsidRPr="00D71476" w:rsidRDefault="00DE5F4B" w:rsidP="00DE5F4B">
            <w:pPr>
              <w:spacing w:beforeLines="1" w:before="2"/>
              <w:rPr>
                <w:sz w:val="18"/>
                <w:szCs w:val="18"/>
                <w:lang w:eastAsia="en-GB"/>
              </w:rPr>
            </w:pPr>
          </w:p>
        </w:tc>
        <w:tc>
          <w:tcPr>
            <w:tcW w:w="2551" w:type="dxa"/>
            <w:tcBorders>
              <w:left w:val="double" w:sz="4" w:space="0" w:color="009DD9" w:themeColor="accent2"/>
            </w:tcBorders>
            <w:vAlign w:val="center"/>
          </w:tcPr>
          <w:p w14:paraId="3A97FDCE" w14:textId="3859237B" w:rsidR="00DE5F4B" w:rsidRPr="00720186" w:rsidRDefault="00DE5F4B" w:rsidP="00DE5F4B">
            <w:pPr>
              <w:contextualSpacing/>
              <w:rPr>
                <w:sz w:val="18"/>
                <w:szCs w:val="18"/>
                <w:lang w:eastAsia="en-GB"/>
              </w:rPr>
            </w:pPr>
            <w:r w:rsidRPr="00720186">
              <w:rPr>
                <w:rFonts w:ascii="Calibri" w:hAnsi="Calibri"/>
                <w:color w:val="000000"/>
                <w:sz w:val="18"/>
                <w:szCs w:val="18"/>
              </w:rPr>
              <w:t>JNCC</w:t>
            </w:r>
          </w:p>
        </w:tc>
      </w:tr>
      <w:tr w:rsidR="00DE5F4B" w:rsidRPr="00D71476" w14:paraId="478B6A25" w14:textId="73F088B9" w:rsidTr="006B42D2">
        <w:trPr>
          <w:trHeight w:val="20"/>
        </w:trPr>
        <w:tc>
          <w:tcPr>
            <w:tcW w:w="2552" w:type="dxa"/>
            <w:tcBorders>
              <w:right w:val="double" w:sz="4" w:space="0" w:color="009DD9" w:themeColor="accent2"/>
            </w:tcBorders>
            <w:vAlign w:val="center"/>
          </w:tcPr>
          <w:p w14:paraId="45A0CEB5" w14:textId="4F3A94CD" w:rsidR="00DE5F4B" w:rsidRDefault="00DE5F4B" w:rsidP="00DE5F4B">
            <w:pPr>
              <w:spacing w:beforeLines="1" w:before="2"/>
              <w:rPr>
                <w:sz w:val="18"/>
                <w:szCs w:val="18"/>
                <w:lang w:eastAsia="en-GB"/>
              </w:rPr>
            </w:pPr>
            <w:r>
              <w:rPr>
                <w:rFonts w:ascii="Calibri" w:hAnsi="Calibri" w:cs="Calibri"/>
                <w:color w:val="000000"/>
                <w:sz w:val="18"/>
                <w:szCs w:val="18"/>
              </w:rPr>
              <w:t>RCHAMW)</w:t>
            </w:r>
          </w:p>
        </w:tc>
        <w:tc>
          <w:tcPr>
            <w:tcW w:w="2551" w:type="dxa"/>
            <w:tcBorders>
              <w:left w:val="double" w:sz="4" w:space="0" w:color="009DD9" w:themeColor="accent2"/>
              <w:right w:val="double" w:sz="4" w:space="0" w:color="009DD9" w:themeColor="accent2"/>
            </w:tcBorders>
            <w:vAlign w:val="center"/>
          </w:tcPr>
          <w:p w14:paraId="4526D5AA" w14:textId="7B7B87B2" w:rsidR="00DE5F4B" w:rsidRPr="00D71476" w:rsidRDefault="00DE5F4B" w:rsidP="00DE5F4B">
            <w:pPr>
              <w:spacing w:beforeLines="1" w:before="2"/>
              <w:rPr>
                <w:sz w:val="18"/>
                <w:szCs w:val="18"/>
                <w:lang w:eastAsia="en-GB"/>
              </w:rPr>
            </w:pPr>
            <w:r>
              <w:rPr>
                <w:rFonts w:ascii="Calibri" w:hAnsi="Calibri" w:cs="Calibri"/>
                <w:color w:val="000000"/>
                <w:sz w:val="18"/>
                <w:szCs w:val="18"/>
              </w:rPr>
              <w:t>Nature Scot</w:t>
            </w:r>
          </w:p>
        </w:tc>
        <w:tc>
          <w:tcPr>
            <w:tcW w:w="2552" w:type="dxa"/>
            <w:tcBorders>
              <w:left w:val="double" w:sz="4" w:space="0" w:color="009DD9" w:themeColor="accent2"/>
              <w:right w:val="double" w:sz="4" w:space="0" w:color="009DD9" w:themeColor="accent2"/>
            </w:tcBorders>
            <w:vAlign w:val="center"/>
          </w:tcPr>
          <w:p w14:paraId="7DDFA169" w14:textId="77777777" w:rsidR="00DE5F4B" w:rsidRPr="00D71476" w:rsidRDefault="00DE5F4B" w:rsidP="00DE5F4B">
            <w:pPr>
              <w:spacing w:beforeLines="1" w:before="2"/>
              <w:rPr>
                <w:sz w:val="18"/>
                <w:szCs w:val="18"/>
                <w:lang w:eastAsia="en-GB"/>
              </w:rPr>
            </w:pPr>
          </w:p>
        </w:tc>
        <w:tc>
          <w:tcPr>
            <w:tcW w:w="2551" w:type="dxa"/>
            <w:tcBorders>
              <w:left w:val="double" w:sz="4" w:space="0" w:color="009DD9" w:themeColor="accent2"/>
            </w:tcBorders>
            <w:vAlign w:val="center"/>
          </w:tcPr>
          <w:p w14:paraId="6DBA0695" w14:textId="44F8BE3B" w:rsidR="00DE5F4B" w:rsidRPr="00720186" w:rsidRDefault="00DE5F4B" w:rsidP="00DE5F4B">
            <w:pPr>
              <w:contextualSpacing/>
              <w:rPr>
                <w:sz w:val="18"/>
                <w:szCs w:val="18"/>
                <w:lang w:eastAsia="en-GB"/>
              </w:rPr>
            </w:pPr>
            <w:r w:rsidRPr="00720186">
              <w:rPr>
                <w:rFonts w:ascii="Calibri" w:hAnsi="Calibri"/>
                <w:color w:val="000000"/>
                <w:sz w:val="18"/>
                <w:szCs w:val="18"/>
              </w:rPr>
              <w:t>Marine Scotland</w:t>
            </w:r>
          </w:p>
        </w:tc>
      </w:tr>
      <w:tr w:rsidR="00DE5F4B" w:rsidRPr="00D71476" w14:paraId="04A4CE76" w14:textId="149B7931" w:rsidTr="006B42D2">
        <w:trPr>
          <w:trHeight w:val="20"/>
        </w:trPr>
        <w:tc>
          <w:tcPr>
            <w:tcW w:w="2552" w:type="dxa"/>
            <w:tcBorders>
              <w:right w:val="double" w:sz="4" w:space="0" w:color="009DD9" w:themeColor="accent2"/>
            </w:tcBorders>
            <w:vAlign w:val="center"/>
          </w:tcPr>
          <w:p w14:paraId="4A73D66C" w14:textId="127EFF39" w:rsidR="00DE5F4B" w:rsidRDefault="00DE5F4B" w:rsidP="00DE5F4B">
            <w:pPr>
              <w:spacing w:beforeLines="1" w:before="2"/>
              <w:rPr>
                <w:sz w:val="18"/>
                <w:szCs w:val="18"/>
                <w:lang w:eastAsia="en-GB"/>
              </w:rPr>
            </w:pPr>
            <w:r>
              <w:rPr>
                <w:rFonts w:ascii="Calibri" w:hAnsi="Calibri" w:cs="Calibri"/>
                <w:color w:val="000000"/>
                <w:sz w:val="18"/>
                <w:szCs w:val="18"/>
              </w:rPr>
              <w:t>The Crown Estate</w:t>
            </w:r>
          </w:p>
        </w:tc>
        <w:tc>
          <w:tcPr>
            <w:tcW w:w="2551" w:type="dxa"/>
            <w:tcBorders>
              <w:left w:val="double" w:sz="4" w:space="0" w:color="009DD9" w:themeColor="accent2"/>
              <w:right w:val="double" w:sz="4" w:space="0" w:color="009DD9" w:themeColor="accent2"/>
            </w:tcBorders>
            <w:vAlign w:val="center"/>
          </w:tcPr>
          <w:p w14:paraId="58F5C3ED" w14:textId="77777777" w:rsidR="00DE5F4B" w:rsidRDefault="00DE5F4B" w:rsidP="00DE5F4B">
            <w:pPr>
              <w:spacing w:beforeLines="1" w:before="2"/>
              <w:rPr>
                <w:sz w:val="18"/>
                <w:szCs w:val="18"/>
                <w:lang w:eastAsia="en-GB"/>
              </w:rPr>
            </w:pPr>
            <w:r>
              <w:rPr>
                <w:rFonts w:ascii="Calibri" w:hAnsi="Calibri" w:cs="Calibri"/>
                <w:color w:val="000000"/>
                <w:sz w:val="18"/>
                <w:szCs w:val="18"/>
              </w:rPr>
              <w:t>The Crown Estate</w:t>
            </w:r>
          </w:p>
        </w:tc>
        <w:tc>
          <w:tcPr>
            <w:tcW w:w="2552" w:type="dxa"/>
            <w:tcBorders>
              <w:left w:val="double" w:sz="4" w:space="0" w:color="009DD9" w:themeColor="accent2"/>
              <w:right w:val="double" w:sz="4" w:space="0" w:color="009DD9" w:themeColor="accent2"/>
            </w:tcBorders>
            <w:vAlign w:val="center"/>
          </w:tcPr>
          <w:p w14:paraId="676A3B01" w14:textId="77777777" w:rsidR="00DE5F4B" w:rsidRPr="00D71476" w:rsidRDefault="00DE5F4B" w:rsidP="00DE5F4B">
            <w:pPr>
              <w:spacing w:beforeLines="1" w:before="2"/>
              <w:rPr>
                <w:sz w:val="18"/>
                <w:szCs w:val="18"/>
                <w:lang w:eastAsia="en-GB"/>
              </w:rPr>
            </w:pPr>
          </w:p>
        </w:tc>
        <w:tc>
          <w:tcPr>
            <w:tcW w:w="2551" w:type="dxa"/>
            <w:tcBorders>
              <w:left w:val="double" w:sz="4" w:space="0" w:color="009DD9" w:themeColor="accent2"/>
            </w:tcBorders>
            <w:vAlign w:val="center"/>
          </w:tcPr>
          <w:p w14:paraId="2B851868" w14:textId="2D11DC8A" w:rsidR="00DE5F4B" w:rsidRPr="00720186" w:rsidRDefault="00DE5F4B" w:rsidP="00DE5F4B">
            <w:pPr>
              <w:contextualSpacing/>
              <w:rPr>
                <w:sz w:val="18"/>
                <w:szCs w:val="18"/>
                <w:lang w:eastAsia="en-GB"/>
              </w:rPr>
            </w:pPr>
            <w:r w:rsidRPr="00720186">
              <w:rPr>
                <w:rFonts w:ascii="Calibri" w:hAnsi="Calibri"/>
                <w:color w:val="000000"/>
                <w:sz w:val="18"/>
                <w:szCs w:val="18"/>
              </w:rPr>
              <w:t>DASSH</w:t>
            </w:r>
          </w:p>
        </w:tc>
      </w:tr>
      <w:tr w:rsidR="00DE5F4B" w:rsidRPr="00D71476" w14:paraId="406834B1" w14:textId="2C060BD3" w:rsidTr="006B42D2">
        <w:trPr>
          <w:trHeight w:val="20"/>
        </w:trPr>
        <w:tc>
          <w:tcPr>
            <w:tcW w:w="2552" w:type="dxa"/>
            <w:tcBorders>
              <w:right w:val="double" w:sz="4" w:space="0" w:color="009DD9" w:themeColor="accent2"/>
            </w:tcBorders>
            <w:vAlign w:val="center"/>
          </w:tcPr>
          <w:p w14:paraId="783FFB43" w14:textId="73861126" w:rsidR="00DE5F4B" w:rsidRPr="00181C79" w:rsidRDefault="000D7BD4" w:rsidP="00DE5F4B">
            <w:pPr>
              <w:spacing w:beforeLines="1" w:before="2"/>
              <w:rPr>
                <w:rFonts w:ascii="Calibri" w:hAnsi="Calibri" w:cs="Calibri"/>
                <w:color w:val="000000"/>
                <w:sz w:val="18"/>
                <w:szCs w:val="18"/>
              </w:rPr>
            </w:pPr>
            <w:r>
              <w:rPr>
                <w:sz w:val="18"/>
                <w:szCs w:val="18"/>
                <w:lang w:eastAsia="en-GB"/>
              </w:rPr>
              <w:t>UKHO</w:t>
            </w:r>
          </w:p>
        </w:tc>
        <w:tc>
          <w:tcPr>
            <w:tcW w:w="2551" w:type="dxa"/>
            <w:tcBorders>
              <w:left w:val="double" w:sz="4" w:space="0" w:color="009DD9" w:themeColor="accent2"/>
              <w:right w:val="double" w:sz="4" w:space="0" w:color="009DD9" w:themeColor="accent2"/>
            </w:tcBorders>
            <w:vAlign w:val="center"/>
          </w:tcPr>
          <w:p w14:paraId="49973665" w14:textId="77777777" w:rsidR="00DE5F4B" w:rsidRDefault="00DE5F4B" w:rsidP="00DE5F4B">
            <w:pPr>
              <w:spacing w:beforeLines="1" w:before="2"/>
              <w:rPr>
                <w:sz w:val="18"/>
                <w:szCs w:val="18"/>
                <w:lang w:eastAsia="en-GB"/>
              </w:rPr>
            </w:pPr>
            <w:r>
              <w:rPr>
                <w:rFonts w:ascii="Calibri" w:hAnsi="Calibri" w:cs="Calibri"/>
                <w:color w:val="000000"/>
                <w:sz w:val="18"/>
                <w:szCs w:val="18"/>
              </w:rPr>
              <w:t>UKHO</w:t>
            </w:r>
          </w:p>
        </w:tc>
        <w:tc>
          <w:tcPr>
            <w:tcW w:w="2552" w:type="dxa"/>
            <w:tcBorders>
              <w:left w:val="double" w:sz="4" w:space="0" w:color="009DD9" w:themeColor="accent2"/>
              <w:right w:val="double" w:sz="4" w:space="0" w:color="009DD9" w:themeColor="accent2"/>
            </w:tcBorders>
            <w:vAlign w:val="center"/>
          </w:tcPr>
          <w:p w14:paraId="490EA0AD" w14:textId="77777777" w:rsidR="00DE5F4B" w:rsidRPr="00D71476" w:rsidRDefault="00DE5F4B" w:rsidP="00DE5F4B">
            <w:pPr>
              <w:spacing w:beforeLines="1" w:before="2"/>
              <w:rPr>
                <w:sz w:val="18"/>
                <w:szCs w:val="18"/>
                <w:lang w:eastAsia="en-GB"/>
              </w:rPr>
            </w:pPr>
          </w:p>
        </w:tc>
        <w:tc>
          <w:tcPr>
            <w:tcW w:w="2551" w:type="dxa"/>
            <w:tcBorders>
              <w:left w:val="double" w:sz="4" w:space="0" w:color="009DD9" w:themeColor="accent2"/>
            </w:tcBorders>
            <w:vAlign w:val="center"/>
          </w:tcPr>
          <w:p w14:paraId="7F006069" w14:textId="23273DD5" w:rsidR="00DE5F4B" w:rsidRPr="00720186" w:rsidRDefault="00DE5F4B" w:rsidP="00DE5F4B">
            <w:pPr>
              <w:contextualSpacing/>
              <w:rPr>
                <w:sz w:val="18"/>
                <w:szCs w:val="18"/>
                <w:lang w:eastAsia="en-GB"/>
              </w:rPr>
            </w:pPr>
            <w:r w:rsidRPr="00720186">
              <w:rPr>
                <w:rFonts w:ascii="Calibri" w:hAnsi="Calibri"/>
                <w:color w:val="000000"/>
                <w:sz w:val="18"/>
                <w:szCs w:val="18"/>
              </w:rPr>
              <w:t>Met Office</w:t>
            </w:r>
          </w:p>
        </w:tc>
      </w:tr>
      <w:tr w:rsidR="00DE5F4B" w:rsidRPr="00D71476" w14:paraId="5F1EA025" w14:textId="4C7F9647" w:rsidTr="006B42D2">
        <w:trPr>
          <w:trHeight w:val="20"/>
        </w:trPr>
        <w:tc>
          <w:tcPr>
            <w:tcW w:w="2552" w:type="dxa"/>
            <w:tcBorders>
              <w:right w:val="double" w:sz="4" w:space="0" w:color="009DD9" w:themeColor="accent2"/>
            </w:tcBorders>
            <w:vAlign w:val="center"/>
          </w:tcPr>
          <w:p w14:paraId="78BA30E1" w14:textId="06F53A73" w:rsidR="00DE5F4B" w:rsidRDefault="00DE5F4B" w:rsidP="00DE5F4B">
            <w:pPr>
              <w:spacing w:beforeLines="1" w:before="2"/>
              <w:rPr>
                <w:sz w:val="18"/>
                <w:szCs w:val="18"/>
                <w:lang w:eastAsia="en-GB"/>
              </w:rPr>
            </w:pPr>
          </w:p>
        </w:tc>
        <w:tc>
          <w:tcPr>
            <w:tcW w:w="2551" w:type="dxa"/>
            <w:tcBorders>
              <w:left w:val="double" w:sz="4" w:space="0" w:color="009DD9" w:themeColor="accent2"/>
              <w:right w:val="double" w:sz="4" w:space="0" w:color="009DD9" w:themeColor="accent2"/>
            </w:tcBorders>
            <w:vAlign w:val="center"/>
          </w:tcPr>
          <w:p w14:paraId="19F22BFD" w14:textId="77777777" w:rsidR="00DE5F4B" w:rsidRDefault="00DE5F4B" w:rsidP="00DE5F4B">
            <w:pPr>
              <w:spacing w:beforeLines="1" w:before="2"/>
              <w:rPr>
                <w:sz w:val="18"/>
                <w:szCs w:val="18"/>
                <w:lang w:eastAsia="en-GB"/>
              </w:rPr>
            </w:pPr>
          </w:p>
        </w:tc>
        <w:tc>
          <w:tcPr>
            <w:tcW w:w="2552" w:type="dxa"/>
            <w:tcBorders>
              <w:left w:val="double" w:sz="4" w:space="0" w:color="009DD9" w:themeColor="accent2"/>
              <w:right w:val="double" w:sz="4" w:space="0" w:color="009DD9" w:themeColor="accent2"/>
            </w:tcBorders>
            <w:vAlign w:val="center"/>
          </w:tcPr>
          <w:p w14:paraId="7A8E5350" w14:textId="77777777" w:rsidR="00DE5F4B" w:rsidRPr="00D71476" w:rsidRDefault="00DE5F4B" w:rsidP="00DE5F4B">
            <w:pPr>
              <w:spacing w:beforeLines="1" w:before="2"/>
              <w:rPr>
                <w:sz w:val="18"/>
                <w:szCs w:val="18"/>
                <w:lang w:eastAsia="en-GB"/>
              </w:rPr>
            </w:pPr>
          </w:p>
        </w:tc>
        <w:tc>
          <w:tcPr>
            <w:tcW w:w="2551" w:type="dxa"/>
            <w:tcBorders>
              <w:left w:val="double" w:sz="4" w:space="0" w:color="009DD9" w:themeColor="accent2"/>
            </w:tcBorders>
            <w:vAlign w:val="center"/>
          </w:tcPr>
          <w:p w14:paraId="55B4FEA1" w14:textId="337BE8AD" w:rsidR="00DE5F4B" w:rsidRPr="00720186" w:rsidRDefault="00DE5F4B" w:rsidP="00DE5F4B">
            <w:pPr>
              <w:contextualSpacing/>
              <w:rPr>
                <w:sz w:val="18"/>
                <w:szCs w:val="18"/>
                <w:lang w:eastAsia="en-GB"/>
              </w:rPr>
            </w:pPr>
            <w:r w:rsidRPr="00720186">
              <w:rPr>
                <w:rFonts w:ascii="Calibri" w:hAnsi="Calibri"/>
                <w:color w:val="000000"/>
                <w:sz w:val="18"/>
                <w:szCs w:val="18"/>
              </w:rPr>
              <w:t>NRW</w:t>
            </w:r>
          </w:p>
        </w:tc>
      </w:tr>
      <w:tr w:rsidR="00DE5F4B" w:rsidRPr="00D71476" w14:paraId="62F08F3F" w14:textId="77777777" w:rsidTr="006B42D2">
        <w:trPr>
          <w:trHeight w:val="20"/>
        </w:trPr>
        <w:tc>
          <w:tcPr>
            <w:tcW w:w="2552" w:type="dxa"/>
            <w:tcBorders>
              <w:right w:val="double" w:sz="4" w:space="0" w:color="009DD9" w:themeColor="accent2"/>
            </w:tcBorders>
            <w:vAlign w:val="center"/>
          </w:tcPr>
          <w:p w14:paraId="5AB65D3C" w14:textId="77777777" w:rsidR="00DE5F4B" w:rsidRDefault="00DE5F4B" w:rsidP="00DE5F4B">
            <w:pPr>
              <w:spacing w:beforeLines="1" w:before="2"/>
              <w:rPr>
                <w:sz w:val="18"/>
                <w:szCs w:val="18"/>
                <w:lang w:eastAsia="en-GB"/>
              </w:rPr>
            </w:pPr>
          </w:p>
        </w:tc>
        <w:tc>
          <w:tcPr>
            <w:tcW w:w="2551" w:type="dxa"/>
            <w:tcBorders>
              <w:left w:val="double" w:sz="4" w:space="0" w:color="009DD9" w:themeColor="accent2"/>
              <w:right w:val="double" w:sz="4" w:space="0" w:color="009DD9" w:themeColor="accent2"/>
            </w:tcBorders>
            <w:vAlign w:val="center"/>
          </w:tcPr>
          <w:p w14:paraId="2123A3B6" w14:textId="77777777" w:rsidR="00DE5F4B" w:rsidRDefault="00DE5F4B" w:rsidP="00DE5F4B">
            <w:pPr>
              <w:spacing w:beforeLines="1" w:before="2"/>
              <w:rPr>
                <w:sz w:val="18"/>
                <w:szCs w:val="18"/>
                <w:lang w:eastAsia="en-GB"/>
              </w:rPr>
            </w:pPr>
          </w:p>
        </w:tc>
        <w:tc>
          <w:tcPr>
            <w:tcW w:w="2552" w:type="dxa"/>
            <w:tcBorders>
              <w:left w:val="double" w:sz="4" w:space="0" w:color="009DD9" w:themeColor="accent2"/>
              <w:right w:val="double" w:sz="4" w:space="0" w:color="009DD9" w:themeColor="accent2"/>
            </w:tcBorders>
            <w:vAlign w:val="center"/>
          </w:tcPr>
          <w:p w14:paraId="6F4C3995" w14:textId="77777777" w:rsidR="00DE5F4B" w:rsidRPr="00D71476" w:rsidRDefault="00DE5F4B" w:rsidP="00DE5F4B">
            <w:pPr>
              <w:spacing w:beforeLines="1" w:before="2"/>
              <w:rPr>
                <w:sz w:val="18"/>
                <w:szCs w:val="18"/>
                <w:lang w:eastAsia="en-GB"/>
              </w:rPr>
            </w:pPr>
          </w:p>
        </w:tc>
        <w:tc>
          <w:tcPr>
            <w:tcW w:w="2551" w:type="dxa"/>
            <w:tcBorders>
              <w:left w:val="double" w:sz="4" w:space="0" w:color="009DD9" w:themeColor="accent2"/>
            </w:tcBorders>
            <w:vAlign w:val="center"/>
          </w:tcPr>
          <w:p w14:paraId="5A49F95F" w14:textId="362BBE3F" w:rsidR="00DE5F4B" w:rsidRPr="00720186" w:rsidRDefault="0090427B" w:rsidP="00DE5F4B">
            <w:pPr>
              <w:contextualSpacing/>
              <w:rPr>
                <w:rFonts w:ascii="Calibri" w:hAnsi="Calibri"/>
                <w:color w:val="000000"/>
                <w:sz w:val="18"/>
                <w:szCs w:val="18"/>
              </w:rPr>
            </w:pPr>
            <w:r>
              <w:rPr>
                <w:rFonts w:ascii="Calibri" w:hAnsi="Calibri"/>
                <w:color w:val="000000"/>
                <w:sz w:val="18"/>
                <w:szCs w:val="18"/>
              </w:rPr>
              <w:t>NatureScot</w:t>
            </w:r>
          </w:p>
        </w:tc>
      </w:tr>
      <w:tr w:rsidR="0090427B" w:rsidRPr="00D71476" w14:paraId="6254A688" w14:textId="77777777" w:rsidTr="006B42D2">
        <w:trPr>
          <w:trHeight w:val="20"/>
        </w:trPr>
        <w:tc>
          <w:tcPr>
            <w:tcW w:w="2552" w:type="dxa"/>
            <w:tcBorders>
              <w:right w:val="double" w:sz="4" w:space="0" w:color="009DD9" w:themeColor="accent2"/>
            </w:tcBorders>
            <w:vAlign w:val="center"/>
          </w:tcPr>
          <w:p w14:paraId="41B446A4" w14:textId="77777777" w:rsidR="0090427B" w:rsidRDefault="0090427B" w:rsidP="0090427B">
            <w:pPr>
              <w:spacing w:beforeLines="1" w:before="2"/>
              <w:rPr>
                <w:sz w:val="18"/>
                <w:szCs w:val="18"/>
                <w:lang w:eastAsia="en-GB"/>
              </w:rPr>
            </w:pPr>
          </w:p>
        </w:tc>
        <w:tc>
          <w:tcPr>
            <w:tcW w:w="2551" w:type="dxa"/>
            <w:tcBorders>
              <w:left w:val="double" w:sz="4" w:space="0" w:color="009DD9" w:themeColor="accent2"/>
              <w:right w:val="double" w:sz="4" w:space="0" w:color="009DD9" w:themeColor="accent2"/>
            </w:tcBorders>
            <w:vAlign w:val="center"/>
          </w:tcPr>
          <w:p w14:paraId="3C06EADA" w14:textId="77777777" w:rsidR="0090427B" w:rsidRDefault="0090427B" w:rsidP="0090427B">
            <w:pPr>
              <w:spacing w:beforeLines="1" w:before="2"/>
              <w:rPr>
                <w:sz w:val="18"/>
                <w:szCs w:val="18"/>
                <w:lang w:eastAsia="en-GB"/>
              </w:rPr>
            </w:pPr>
          </w:p>
        </w:tc>
        <w:tc>
          <w:tcPr>
            <w:tcW w:w="2552" w:type="dxa"/>
            <w:tcBorders>
              <w:left w:val="double" w:sz="4" w:space="0" w:color="009DD9" w:themeColor="accent2"/>
              <w:right w:val="double" w:sz="4" w:space="0" w:color="009DD9" w:themeColor="accent2"/>
            </w:tcBorders>
            <w:vAlign w:val="center"/>
          </w:tcPr>
          <w:p w14:paraId="706C8EE6" w14:textId="77777777" w:rsidR="0090427B" w:rsidRPr="00D71476" w:rsidRDefault="0090427B" w:rsidP="0090427B">
            <w:pPr>
              <w:spacing w:beforeLines="1" w:before="2"/>
              <w:rPr>
                <w:sz w:val="18"/>
                <w:szCs w:val="18"/>
                <w:lang w:eastAsia="en-GB"/>
              </w:rPr>
            </w:pPr>
          </w:p>
        </w:tc>
        <w:tc>
          <w:tcPr>
            <w:tcW w:w="2551" w:type="dxa"/>
            <w:tcBorders>
              <w:left w:val="double" w:sz="4" w:space="0" w:color="009DD9" w:themeColor="accent2"/>
            </w:tcBorders>
            <w:vAlign w:val="center"/>
          </w:tcPr>
          <w:p w14:paraId="0FB3085E" w14:textId="472E42DD" w:rsidR="0090427B" w:rsidRPr="00720186" w:rsidRDefault="0090427B" w:rsidP="0090427B">
            <w:pPr>
              <w:contextualSpacing/>
              <w:rPr>
                <w:rFonts w:ascii="Calibri" w:hAnsi="Calibri"/>
                <w:color w:val="000000"/>
                <w:sz w:val="18"/>
                <w:szCs w:val="18"/>
              </w:rPr>
            </w:pPr>
            <w:r w:rsidRPr="00720186">
              <w:rPr>
                <w:rFonts w:ascii="Calibri" w:hAnsi="Calibri"/>
                <w:color w:val="000000"/>
                <w:sz w:val="18"/>
                <w:szCs w:val="18"/>
              </w:rPr>
              <w:t>OceanWise</w:t>
            </w:r>
          </w:p>
        </w:tc>
      </w:tr>
      <w:tr w:rsidR="0090427B" w:rsidRPr="00D71476" w14:paraId="17D7380E" w14:textId="77777777" w:rsidTr="006B42D2">
        <w:trPr>
          <w:trHeight w:val="20"/>
        </w:trPr>
        <w:tc>
          <w:tcPr>
            <w:tcW w:w="2552" w:type="dxa"/>
            <w:tcBorders>
              <w:right w:val="double" w:sz="4" w:space="0" w:color="009DD9" w:themeColor="accent2"/>
            </w:tcBorders>
            <w:vAlign w:val="center"/>
          </w:tcPr>
          <w:p w14:paraId="6485ABEF" w14:textId="77777777" w:rsidR="0090427B" w:rsidRDefault="0090427B" w:rsidP="0090427B">
            <w:pPr>
              <w:spacing w:beforeLines="1" w:before="2"/>
              <w:rPr>
                <w:sz w:val="18"/>
                <w:szCs w:val="18"/>
                <w:lang w:eastAsia="en-GB"/>
              </w:rPr>
            </w:pPr>
          </w:p>
        </w:tc>
        <w:tc>
          <w:tcPr>
            <w:tcW w:w="2551" w:type="dxa"/>
            <w:tcBorders>
              <w:left w:val="double" w:sz="4" w:space="0" w:color="009DD9" w:themeColor="accent2"/>
              <w:right w:val="double" w:sz="4" w:space="0" w:color="009DD9" w:themeColor="accent2"/>
            </w:tcBorders>
            <w:vAlign w:val="center"/>
          </w:tcPr>
          <w:p w14:paraId="7721EBAD" w14:textId="77777777" w:rsidR="0090427B" w:rsidRDefault="0090427B" w:rsidP="0090427B">
            <w:pPr>
              <w:spacing w:beforeLines="1" w:before="2"/>
              <w:rPr>
                <w:sz w:val="18"/>
                <w:szCs w:val="18"/>
                <w:lang w:eastAsia="en-GB"/>
              </w:rPr>
            </w:pPr>
          </w:p>
        </w:tc>
        <w:tc>
          <w:tcPr>
            <w:tcW w:w="2552" w:type="dxa"/>
            <w:tcBorders>
              <w:left w:val="double" w:sz="4" w:space="0" w:color="009DD9" w:themeColor="accent2"/>
              <w:right w:val="double" w:sz="4" w:space="0" w:color="009DD9" w:themeColor="accent2"/>
            </w:tcBorders>
            <w:vAlign w:val="center"/>
          </w:tcPr>
          <w:p w14:paraId="6B5B55B7" w14:textId="77777777" w:rsidR="0090427B" w:rsidRPr="00D71476" w:rsidRDefault="0090427B" w:rsidP="0090427B">
            <w:pPr>
              <w:spacing w:beforeLines="1" w:before="2"/>
              <w:rPr>
                <w:sz w:val="18"/>
                <w:szCs w:val="18"/>
                <w:lang w:eastAsia="en-GB"/>
              </w:rPr>
            </w:pPr>
          </w:p>
        </w:tc>
        <w:tc>
          <w:tcPr>
            <w:tcW w:w="2551" w:type="dxa"/>
            <w:tcBorders>
              <w:left w:val="double" w:sz="4" w:space="0" w:color="009DD9" w:themeColor="accent2"/>
            </w:tcBorders>
            <w:vAlign w:val="center"/>
          </w:tcPr>
          <w:p w14:paraId="29F42FB7" w14:textId="54C7F92B" w:rsidR="0090427B" w:rsidRPr="00720186" w:rsidRDefault="0090427B" w:rsidP="0090427B">
            <w:pPr>
              <w:contextualSpacing/>
              <w:rPr>
                <w:rFonts w:ascii="Calibri" w:hAnsi="Calibri"/>
                <w:color w:val="000000"/>
                <w:sz w:val="18"/>
                <w:szCs w:val="18"/>
              </w:rPr>
            </w:pPr>
            <w:r w:rsidRPr="00720186">
              <w:rPr>
                <w:rFonts w:ascii="Calibri" w:hAnsi="Calibri"/>
                <w:color w:val="000000"/>
                <w:sz w:val="18"/>
                <w:szCs w:val="18"/>
              </w:rPr>
              <w:t>RCAHMW</w:t>
            </w:r>
          </w:p>
        </w:tc>
      </w:tr>
      <w:tr w:rsidR="0090427B" w:rsidRPr="00D71476" w14:paraId="0BB1D376" w14:textId="77777777" w:rsidTr="006B42D2">
        <w:trPr>
          <w:trHeight w:val="20"/>
        </w:trPr>
        <w:tc>
          <w:tcPr>
            <w:tcW w:w="2552" w:type="dxa"/>
            <w:tcBorders>
              <w:right w:val="double" w:sz="4" w:space="0" w:color="009DD9" w:themeColor="accent2"/>
            </w:tcBorders>
            <w:vAlign w:val="center"/>
          </w:tcPr>
          <w:p w14:paraId="368E29E2" w14:textId="77777777" w:rsidR="0090427B" w:rsidRDefault="0090427B" w:rsidP="0090427B">
            <w:pPr>
              <w:spacing w:beforeLines="1" w:before="2"/>
              <w:rPr>
                <w:sz w:val="18"/>
                <w:szCs w:val="18"/>
                <w:lang w:eastAsia="en-GB"/>
              </w:rPr>
            </w:pPr>
          </w:p>
        </w:tc>
        <w:tc>
          <w:tcPr>
            <w:tcW w:w="2551" w:type="dxa"/>
            <w:tcBorders>
              <w:left w:val="double" w:sz="4" w:space="0" w:color="009DD9" w:themeColor="accent2"/>
              <w:right w:val="double" w:sz="4" w:space="0" w:color="009DD9" w:themeColor="accent2"/>
            </w:tcBorders>
            <w:vAlign w:val="center"/>
          </w:tcPr>
          <w:p w14:paraId="06E990CE" w14:textId="77777777" w:rsidR="0090427B" w:rsidRDefault="0090427B" w:rsidP="0090427B">
            <w:pPr>
              <w:spacing w:beforeLines="1" w:before="2"/>
              <w:rPr>
                <w:sz w:val="18"/>
                <w:szCs w:val="18"/>
                <w:lang w:eastAsia="en-GB"/>
              </w:rPr>
            </w:pPr>
          </w:p>
        </w:tc>
        <w:tc>
          <w:tcPr>
            <w:tcW w:w="2552" w:type="dxa"/>
            <w:tcBorders>
              <w:left w:val="double" w:sz="4" w:space="0" w:color="009DD9" w:themeColor="accent2"/>
              <w:right w:val="double" w:sz="4" w:space="0" w:color="009DD9" w:themeColor="accent2"/>
            </w:tcBorders>
            <w:vAlign w:val="center"/>
          </w:tcPr>
          <w:p w14:paraId="4964F02C" w14:textId="77777777" w:rsidR="0090427B" w:rsidRPr="00D71476" w:rsidRDefault="0090427B" w:rsidP="0090427B">
            <w:pPr>
              <w:spacing w:beforeLines="1" w:before="2"/>
              <w:rPr>
                <w:sz w:val="18"/>
                <w:szCs w:val="18"/>
                <w:lang w:eastAsia="en-GB"/>
              </w:rPr>
            </w:pPr>
          </w:p>
        </w:tc>
        <w:tc>
          <w:tcPr>
            <w:tcW w:w="2551" w:type="dxa"/>
            <w:tcBorders>
              <w:left w:val="double" w:sz="4" w:space="0" w:color="009DD9" w:themeColor="accent2"/>
            </w:tcBorders>
            <w:vAlign w:val="center"/>
          </w:tcPr>
          <w:p w14:paraId="405EB0CF" w14:textId="3DDC111D" w:rsidR="0090427B" w:rsidRPr="00720186" w:rsidRDefault="0090427B" w:rsidP="0090427B">
            <w:pPr>
              <w:contextualSpacing/>
              <w:rPr>
                <w:rFonts w:ascii="Calibri" w:hAnsi="Calibri"/>
                <w:color w:val="000000"/>
                <w:sz w:val="18"/>
                <w:szCs w:val="18"/>
              </w:rPr>
            </w:pPr>
            <w:r w:rsidRPr="00720186">
              <w:rPr>
                <w:rFonts w:ascii="Calibri" w:hAnsi="Calibri"/>
                <w:color w:val="000000"/>
                <w:sz w:val="18"/>
                <w:szCs w:val="18"/>
              </w:rPr>
              <w:t>The Crown Estate</w:t>
            </w:r>
          </w:p>
        </w:tc>
      </w:tr>
      <w:tr w:rsidR="0090427B" w:rsidRPr="00D71476" w14:paraId="376164BE" w14:textId="77777777" w:rsidTr="006B42D2">
        <w:trPr>
          <w:trHeight w:val="20"/>
        </w:trPr>
        <w:tc>
          <w:tcPr>
            <w:tcW w:w="2552" w:type="dxa"/>
            <w:tcBorders>
              <w:right w:val="double" w:sz="4" w:space="0" w:color="009DD9" w:themeColor="accent2"/>
            </w:tcBorders>
            <w:vAlign w:val="center"/>
          </w:tcPr>
          <w:p w14:paraId="400A1CAD" w14:textId="77777777" w:rsidR="0090427B" w:rsidRDefault="0090427B" w:rsidP="0090427B">
            <w:pPr>
              <w:spacing w:beforeLines="1" w:before="2"/>
              <w:rPr>
                <w:sz w:val="18"/>
                <w:szCs w:val="18"/>
                <w:lang w:eastAsia="en-GB"/>
              </w:rPr>
            </w:pPr>
          </w:p>
        </w:tc>
        <w:tc>
          <w:tcPr>
            <w:tcW w:w="2551" w:type="dxa"/>
            <w:tcBorders>
              <w:left w:val="double" w:sz="4" w:space="0" w:color="009DD9" w:themeColor="accent2"/>
              <w:right w:val="double" w:sz="4" w:space="0" w:color="009DD9" w:themeColor="accent2"/>
            </w:tcBorders>
            <w:vAlign w:val="center"/>
          </w:tcPr>
          <w:p w14:paraId="5EFAE546" w14:textId="77777777" w:rsidR="0090427B" w:rsidRDefault="0090427B" w:rsidP="0090427B">
            <w:pPr>
              <w:spacing w:beforeLines="1" w:before="2"/>
              <w:rPr>
                <w:sz w:val="18"/>
                <w:szCs w:val="18"/>
                <w:lang w:eastAsia="en-GB"/>
              </w:rPr>
            </w:pPr>
          </w:p>
        </w:tc>
        <w:tc>
          <w:tcPr>
            <w:tcW w:w="2552" w:type="dxa"/>
            <w:tcBorders>
              <w:left w:val="double" w:sz="4" w:space="0" w:color="009DD9" w:themeColor="accent2"/>
              <w:right w:val="double" w:sz="4" w:space="0" w:color="009DD9" w:themeColor="accent2"/>
            </w:tcBorders>
            <w:vAlign w:val="center"/>
          </w:tcPr>
          <w:p w14:paraId="5A3A92C2" w14:textId="77777777" w:rsidR="0090427B" w:rsidRPr="00D71476" w:rsidRDefault="0090427B" w:rsidP="0090427B">
            <w:pPr>
              <w:spacing w:beforeLines="1" w:before="2"/>
              <w:rPr>
                <w:sz w:val="18"/>
                <w:szCs w:val="18"/>
                <w:lang w:eastAsia="en-GB"/>
              </w:rPr>
            </w:pPr>
          </w:p>
        </w:tc>
        <w:tc>
          <w:tcPr>
            <w:tcW w:w="2551" w:type="dxa"/>
            <w:tcBorders>
              <w:left w:val="double" w:sz="4" w:space="0" w:color="009DD9" w:themeColor="accent2"/>
            </w:tcBorders>
            <w:vAlign w:val="center"/>
          </w:tcPr>
          <w:p w14:paraId="141CFEA3" w14:textId="3E8947C6" w:rsidR="0090427B" w:rsidRPr="00720186" w:rsidRDefault="0090427B" w:rsidP="0090427B">
            <w:pPr>
              <w:contextualSpacing/>
              <w:rPr>
                <w:rFonts w:ascii="Calibri" w:hAnsi="Calibri"/>
                <w:color w:val="000000"/>
                <w:sz w:val="18"/>
                <w:szCs w:val="18"/>
              </w:rPr>
            </w:pPr>
            <w:r w:rsidRPr="00720186">
              <w:rPr>
                <w:rFonts w:ascii="Calibri" w:hAnsi="Calibri"/>
                <w:color w:val="000000"/>
                <w:sz w:val="18"/>
                <w:szCs w:val="18"/>
              </w:rPr>
              <w:t>UKHO</w:t>
            </w:r>
          </w:p>
        </w:tc>
      </w:tr>
      <w:tr w:rsidR="0090427B" w:rsidRPr="00D71476" w14:paraId="0CDD374E" w14:textId="77777777" w:rsidTr="006B42D2">
        <w:trPr>
          <w:trHeight w:val="20"/>
        </w:trPr>
        <w:tc>
          <w:tcPr>
            <w:tcW w:w="2552" w:type="dxa"/>
            <w:tcBorders>
              <w:right w:val="double" w:sz="4" w:space="0" w:color="009DD9" w:themeColor="accent2"/>
            </w:tcBorders>
            <w:vAlign w:val="center"/>
          </w:tcPr>
          <w:p w14:paraId="2E62A956" w14:textId="77777777" w:rsidR="0090427B" w:rsidRDefault="0090427B" w:rsidP="0090427B">
            <w:pPr>
              <w:spacing w:beforeLines="1" w:before="2"/>
              <w:rPr>
                <w:sz w:val="18"/>
                <w:szCs w:val="18"/>
                <w:lang w:eastAsia="en-GB"/>
              </w:rPr>
            </w:pPr>
          </w:p>
        </w:tc>
        <w:tc>
          <w:tcPr>
            <w:tcW w:w="2551" w:type="dxa"/>
            <w:tcBorders>
              <w:left w:val="double" w:sz="4" w:space="0" w:color="009DD9" w:themeColor="accent2"/>
              <w:right w:val="double" w:sz="4" w:space="0" w:color="009DD9" w:themeColor="accent2"/>
            </w:tcBorders>
            <w:vAlign w:val="center"/>
          </w:tcPr>
          <w:p w14:paraId="1A0719B1" w14:textId="77777777" w:rsidR="0090427B" w:rsidRDefault="0090427B" w:rsidP="0090427B">
            <w:pPr>
              <w:spacing w:beforeLines="1" w:before="2"/>
              <w:rPr>
                <w:sz w:val="18"/>
                <w:szCs w:val="18"/>
                <w:lang w:eastAsia="en-GB"/>
              </w:rPr>
            </w:pPr>
          </w:p>
        </w:tc>
        <w:tc>
          <w:tcPr>
            <w:tcW w:w="2552" w:type="dxa"/>
            <w:tcBorders>
              <w:left w:val="double" w:sz="4" w:space="0" w:color="009DD9" w:themeColor="accent2"/>
              <w:right w:val="double" w:sz="4" w:space="0" w:color="009DD9" w:themeColor="accent2"/>
            </w:tcBorders>
            <w:vAlign w:val="center"/>
          </w:tcPr>
          <w:p w14:paraId="1D715FCA" w14:textId="77777777" w:rsidR="0090427B" w:rsidRPr="00D71476" w:rsidRDefault="0090427B" w:rsidP="0090427B">
            <w:pPr>
              <w:spacing w:beforeLines="1" w:before="2"/>
              <w:rPr>
                <w:sz w:val="18"/>
                <w:szCs w:val="18"/>
                <w:lang w:eastAsia="en-GB"/>
              </w:rPr>
            </w:pPr>
          </w:p>
        </w:tc>
        <w:tc>
          <w:tcPr>
            <w:tcW w:w="2551" w:type="dxa"/>
            <w:tcBorders>
              <w:left w:val="double" w:sz="4" w:space="0" w:color="009DD9" w:themeColor="accent2"/>
            </w:tcBorders>
            <w:vAlign w:val="center"/>
          </w:tcPr>
          <w:p w14:paraId="21747C9C" w14:textId="7235419E" w:rsidR="0090427B" w:rsidRPr="00720186" w:rsidRDefault="0090427B" w:rsidP="0090427B">
            <w:pPr>
              <w:contextualSpacing/>
              <w:rPr>
                <w:rFonts w:ascii="Calibri" w:hAnsi="Calibri"/>
                <w:color w:val="000000"/>
                <w:sz w:val="18"/>
                <w:szCs w:val="18"/>
              </w:rPr>
            </w:pPr>
            <w:r w:rsidRPr="00720186">
              <w:rPr>
                <w:rFonts w:ascii="Calibri" w:hAnsi="Calibri"/>
                <w:color w:val="000000"/>
                <w:sz w:val="18"/>
                <w:szCs w:val="18"/>
              </w:rPr>
              <w:t xml:space="preserve">Uni. </w:t>
            </w:r>
            <w:r>
              <w:rPr>
                <w:rFonts w:ascii="Calibri" w:hAnsi="Calibri"/>
                <w:color w:val="000000"/>
                <w:sz w:val="18"/>
                <w:szCs w:val="18"/>
              </w:rPr>
              <w:t>o</w:t>
            </w:r>
            <w:r w:rsidRPr="00720186">
              <w:rPr>
                <w:rFonts w:ascii="Calibri" w:hAnsi="Calibri"/>
                <w:color w:val="000000"/>
                <w:sz w:val="18"/>
                <w:szCs w:val="18"/>
              </w:rPr>
              <w:t>f East Anglia</w:t>
            </w:r>
          </w:p>
        </w:tc>
      </w:tr>
      <w:tr w:rsidR="0090427B" w:rsidRPr="00D71476" w14:paraId="0CF16247" w14:textId="77777777" w:rsidTr="006B42D2">
        <w:trPr>
          <w:trHeight w:val="20"/>
        </w:trPr>
        <w:tc>
          <w:tcPr>
            <w:tcW w:w="2552" w:type="dxa"/>
            <w:tcBorders>
              <w:right w:val="double" w:sz="4" w:space="0" w:color="009DD9" w:themeColor="accent2"/>
            </w:tcBorders>
            <w:vAlign w:val="center"/>
          </w:tcPr>
          <w:p w14:paraId="1D9F5B84" w14:textId="77777777" w:rsidR="0090427B" w:rsidRDefault="0090427B" w:rsidP="0090427B">
            <w:pPr>
              <w:spacing w:beforeLines="1" w:before="2"/>
              <w:rPr>
                <w:sz w:val="18"/>
                <w:szCs w:val="18"/>
                <w:lang w:eastAsia="en-GB"/>
              </w:rPr>
            </w:pPr>
          </w:p>
        </w:tc>
        <w:tc>
          <w:tcPr>
            <w:tcW w:w="2551" w:type="dxa"/>
            <w:tcBorders>
              <w:left w:val="double" w:sz="4" w:space="0" w:color="009DD9" w:themeColor="accent2"/>
              <w:right w:val="double" w:sz="4" w:space="0" w:color="009DD9" w:themeColor="accent2"/>
            </w:tcBorders>
            <w:vAlign w:val="center"/>
          </w:tcPr>
          <w:p w14:paraId="0586A8EE" w14:textId="77777777" w:rsidR="0090427B" w:rsidRDefault="0090427B" w:rsidP="0090427B">
            <w:pPr>
              <w:spacing w:beforeLines="1" w:before="2"/>
              <w:rPr>
                <w:sz w:val="18"/>
                <w:szCs w:val="18"/>
                <w:lang w:eastAsia="en-GB"/>
              </w:rPr>
            </w:pPr>
          </w:p>
        </w:tc>
        <w:tc>
          <w:tcPr>
            <w:tcW w:w="2552" w:type="dxa"/>
            <w:tcBorders>
              <w:left w:val="double" w:sz="4" w:space="0" w:color="009DD9" w:themeColor="accent2"/>
              <w:right w:val="double" w:sz="4" w:space="0" w:color="009DD9" w:themeColor="accent2"/>
            </w:tcBorders>
            <w:vAlign w:val="center"/>
          </w:tcPr>
          <w:p w14:paraId="1A0B5B00" w14:textId="77777777" w:rsidR="0090427B" w:rsidRPr="00D71476" w:rsidRDefault="0090427B" w:rsidP="0090427B">
            <w:pPr>
              <w:spacing w:beforeLines="1" w:before="2"/>
              <w:rPr>
                <w:sz w:val="18"/>
                <w:szCs w:val="18"/>
                <w:lang w:eastAsia="en-GB"/>
              </w:rPr>
            </w:pPr>
          </w:p>
        </w:tc>
        <w:tc>
          <w:tcPr>
            <w:tcW w:w="2551" w:type="dxa"/>
            <w:tcBorders>
              <w:left w:val="double" w:sz="4" w:space="0" w:color="009DD9" w:themeColor="accent2"/>
            </w:tcBorders>
            <w:vAlign w:val="center"/>
          </w:tcPr>
          <w:p w14:paraId="40AECCBE" w14:textId="65C95E11" w:rsidR="0090427B" w:rsidRPr="00720186" w:rsidRDefault="0090427B" w:rsidP="0090427B">
            <w:pPr>
              <w:contextualSpacing/>
              <w:rPr>
                <w:rFonts w:ascii="Calibri" w:hAnsi="Calibri"/>
                <w:color w:val="000000"/>
                <w:sz w:val="18"/>
                <w:szCs w:val="18"/>
              </w:rPr>
            </w:pPr>
            <w:r w:rsidRPr="00720186">
              <w:rPr>
                <w:rFonts w:ascii="Calibri" w:hAnsi="Calibri"/>
                <w:color w:val="000000"/>
                <w:sz w:val="18"/>
                <w:szCs w:val="18"/>
              </w:rPr>
              <w:t xml:space="preserve">Uni. </w:t>
            </w:r>
            <w:r>
              <w:rPr>
                <w:rFonts w:ascii="Calibri" w:hAnsi="Calibri"/>
                <w:color w:val="000000"/>
                <w:sz w:val="18"/>
                <w:szCs w:val="18"/>
              </w:rPr>
              <w:t>o</w:t>
            </w:r>
            <w:r w:rsidRPr="00720186">
              <w:rPr>
                <w:rFonts w:ascii="Calibri" w:hAnsi="Calibri"/>
                <w:color w:val="000000"/>
                <w:sz w:val="18"/>
                <w:szCs w:val="18"/>
              </w:rPr>
              <w:t>f Edinburgh</w:t>
            </w:r>
          </w:p>
        </w:tc>
      </w:tr>
      <w:tr w:rsidR="0090427B" w:rsidRPr="00116667" w14:paraId="570D411C" w14:textId="1B99425A" w:rsidTr="006B42D2">
        <w:trPr>
          <w:trHeight w:val="20"/>
        </w:trPr>
        <w:tc>
          <w:tcPr>
            <w:tcW w:w="2552" w:type="dxa"/>
            <w:tcBorders>
              <w:top w:val="double" w:sz="4" w:space="0" w:color="0075A2" w:themeColor="accent2" w:themeShade="BF"/>
              <w:bottom w:val="double" w:sz="4" w:space="0" w:color="0075A2" w:themeColor="accent2" w:themeShade="BF"/>
              <w:right w:val="double" w:sz="4" w:space="0" w:color="009DD9" w:themeColor="accent2"/>
            </w:tcBorders>
            <w:shd w:val="clear" w:color="auto" w:fill="C9F9FC" w:themeFill="accent3" w:themeFillTint="33"/>
          </w:tcPr>
          <w:p w14:paraId="34F29F95" w14:textId="77777777" w:rsidR="0090427B" w:rsidRDefault="0090427B" w:rsidP="003B71B9">
            <w:pPr>
              <w:spacing w:beforeLines="1" w:before="2"/>
              <w:rPr>
                <w:sz w:val="18"/>
                <w:szCs w:val="18"/>
                <w:lang w:eastAsia="en-GB"/>
              </w:rPr>
            </w:pPr>
            <w:r>
              <w:rPr>
                <w:sz w:val="18"/>
                <w:szCs w:val="18"/>
                <w:lang w:eastAsia="en-GB"/>
              </w:rPr>
              <w:t>Jon Parr (Marine Biological Association)</w:t>
            </w:r>
          </w:p>
          <w:p w14:paraId="689BB517" w14:textId="77777777" w:rsidR="0090427B" w:rsidRDefault="0090427B" w:rsidP="004753C9">
            <w:pPr>
              <w:spacing w:beforeLines="1" w:before="2"/>
              <w:rPr>
                <w:rFonts w:cstheme="minorHAnsi"/>
                <w:b/>
                <w:sz w:val="18"/>
                <w:szCs w:val="18"/>
              </w:rPr>
            </w:pPr>
            <w:r>
              <w:rPr>
                <w:rFonts w:cstheme="minorHAnsi"/>
                <w:b/>
                <w:sz w:val="18"/>
                <w:szCs w:val="18"/>
              </w:rPr>
              <w:t>Co-chair 2008-2020</w:t>
            </w:r>
          </w:p>
          <w:p w14:paraId="5951BA95" w14:textId="214661C4" w:rsidR="0090427B" w:rsidRDefault="0090427B">
            <w:pPr>
              <w:spacing w:beforeLines="1" w:before="2"/>
              <w:rPr>
                <w:rFonts w:cstheme="minorHAnsi"/>
                <w:sz w:val="18"/>
                <w:szCs w:val="18"/>
              </w:rPr>
            </w:pPr>
            <w:r>
              <w:rPr>
                <w:rFonts w:cstheme="minorHAnsi"/>
                <w:sz w:val="18"/>
                <w:szCs w:val="18"/>
              </w:rPr>
              <w:t>Dan Lear (DASSH)</w:t>
            </w:r>
          </w:p>
          <w:p w14:paraId="52E5CC67" w14:textId="77777777" w:rsidR="0090427B" w:rsidRDefault="0090427B">
            <w:pPr>
              <w:spacing w:beforeLines="1" w:before="2"/>
              <w:rPr>
                <w:rFonts w:cstheme="minorHAnsi"/>
                <w:b/>
                <w:sz w:val="18"/>
                <w:szCs w:val="18"/>
              </w:rPr>
            </w:pPr>
            <w:r w:rsidRPr="00E66D37">
              <w:rPr>
                <w:rFonts w:cstheme="minorHAnsi"/>
                <w:b/>
                <w:sz w:val="18"/>
                <w:szCs w:val="18"/>
              </w:rPr>
              <w:t>Co-chair since 2020</w:t>
            </w:r>
          </w:p>
          <w:p w14:paraId="54DF737E" w14:textId="77777777" w:rsidR="0090427B" w:rsidRPr="003008A1" w:rsidRDefault="0090427B">
            <w:pPr>
              <w:spacing w:beforeLines="1" w:before="2"/>
              <w:rPr>
                <w:rFonts w:cstheme="minorHAnsi"/>
                <w:sz w:val="18"/>
                <w:szCs w:val="18"/>
              </w:rPr>
            </w:pPr>
            <w:r w:rsidRPr="003008A1">
              <w:rPr>
                <w:rFonts w:cstheme="minorHAnsi"/>
                <w:sz w:val="18"/>
                <w:szCs w:val="18"/>
              </w:rPr>
              <w:t>Dr. Robin McCandliss (MEDIN)</w:t>
            </w:r>
          </w:p>
          <w:p w14:paraId="5AE0DF6F" w14:textId="1B5E8E14" w:rsidR="0090427B" w:rsidRPr="00E66D37" w:rsidRDefault="0090427B">
            <w:pPr>
              <w:spacing w:beforeLines="1" w:before="2"/>
              <w:rPr>
                <w:rFonts w:cstheme="minorHAnsi"/>
                <w:b/>
                <w:sz w:val="18"/>
                <w:szCs w:val="18"/>
              </w:rPr>
            </w:pPr>
            <w:r w:rsidRPr="003008A1">
              <w:rPr>
                <w:rFonts w:cstheme="minorHAnsi"/>
                <w:b/>
                <w:sz w:val="18"/>
                <w:szCs w:val="18"/>
              </w:rPr>
              <w:t>Co-chair since 2017</w:t>
            </w:r>
          </w:p>
        </w:tc>
        <w:tc>
          <w:tcPr>
            <w:tcW w:w="2551" w:type="dxa"/>
            <w:tcBorders>
              <w:top w:val="double" w:sz="4" w:space="0" w:color="0075A2" w:themeColor="accent2" w:themeShade="BF"/>
              <w:left w:val="double" w:sz="4" w:space="0" w:color="009DD9" w:themeColor="accent2"/>
              <w:bottom w:val="double" w:sz="4" w:space="0" w:color="0075A2" w:themeColor="accent2" w:themeShade="BF"/>
              <w:right w:val="double" w:sz="4" w:space="0" w:color="009DD9" w:themeColor="accent2"/>
            </w:tcBorders>
            <w:shd w:val="clear" w:color="auto" w:fill="C9F9FC" w:themeFill="accent3" w:themeFillTint="33"/>
          </w:tcPr>
          <w:p w14:paraId="7FE88A06" w14:textId="77777777" w:rsidR="0090427B" w:rsidRDefault="0090427B">
            <w:pPr>
              <w:spacing w:beforeLines="1" w:before="2"/>
              <w:rPr>
                <w:sz w:val="18"/>
                <w:szCs w:val="18"/>
                <w:lang w:eastAsia="en-GB"/>
              </w:rPr>
            </w:pPr>
            <w:r>
              <w:rPr>
                <w:sz w:val="18"/>
                <w:szCs w:val="18"/>
                <w:lang w:eastAsia="en-GB"/>
              </w:rPr>
              <w:t>Graeme Duncan (JNCC)</w:t>
            </w:r>
          </w:p>
          <w:p w14:paraId="12DDB086" w14:textId="77777777" w:rsidR="0090427B" w:rsidRDefault="0090427B">
            <w:pPr>
              <w:spacing w:beforeLines="1" w:before="2"/>
              <w:rPr>
                <w:rFonts w:cstheme="minorHAnsi"/>
                <w:b/>
                <w:sz w:val="18"/>
                <w:szCs w:val="18"/>
              </w:rPr>
            </w:pPr>
            <w:r>
              <w:rPr>
                <w:rFonts w:cstheme="minorHAnsi"/>
                <w:b/>
                <w:sz w:val="18"/>
                <w:szCs w:val="18"/>
              </w:rPr>
              <w:t>Co-chair since 2019</w:t>
            </w:r>
          </w:p>
          <w:p w14:paraId="5DC9B83B" w14:textId="77777777" w:rsidR="0090427B" w:rsidRPr="003008A1" w:rsidRDefault="0090427B">
            <w:pPr>
              <w:spacing w:beforeLines="1" w:before="2"/>
              <w:rPr>
                <w:rFonts w:cstheme="minorHAnsi"/>
                <w:sz w:val="18"/>
                <w:szCs w:val="18"/>
              </w:rPr>
            </w:pPr>
            <w:r w:rsidRPr="003008A1">
              <w:rPr>
                <w:rFonts w:cstheme="minorHAnsi"/>
                <w:sz w:val="18"/>
                <w:szCs w:val="18"/>
              </w:rPr>
              <w:t>Roseanna Wright (MEDIN)</w:t>
            </w:r>
          </w:p>
          <w:p w14:paraId="17040D2E" w14:textId="1EAD8813" w:rsidR="0090427B" w:rsidRPr="00116667" w:rsidRDefault="0090427B">
            <w:pPr>
              <w:spacing w:beforeLines="1" w:before="2"/>
              <w:rPr>
                <w:rFonts w:cstheme="minorHAnsi"/>
                <w:b/>
                <w:sz w:val="18"/>
                <w:szCs w:val="18"/>
              </w:rPr>
            </w:pPr>
            <w:r w:rsidRPr="003008A1">
              <w:rPr>
                <w:rFonts w:cstheme="minorHAnsi"/>
                <w:b/>
                <w:sz w:val="18"/>
                <w:szCs w:val="18"/>
              </w:rPr>
              <w:t>Co-chair since 2019</w:t>
            </w:r>
          </w:p>
        </w:tc>
        <w:tc>
          <w:tcPr>
            <w:tcW w:w="2552" w:type="dxa"/>
            <w:tcBorders>
              <w:top w:val="double" w:sz="4" w:space="0" w:color="0075A2" w:themeColor="accent2" w:themeShade="BF"/>
              <w:left w:val="double" w:sz="4" w:space="0" w:color="009DD9" w:themeColor="accent2"/>
              <w:bottom w:val="double" w:sz="4" w:space="0" w:color="0075A2" w:themeColor="accent2" w:themeShade="BF"/>
              <w:right w:val="double" w:sz="4" w:space="0" w:color="009DD9" w:themeColor="accent2"/>
            </w:tcBorders>
            <w:shd w:val="clear" w:color="auto" w:fill="C9F9FC" w:themeFill="accent3" w:themeFillTint="33"/>
          </w:tcPr>
          <w:p w14:paraId="117A6113" w14:textId="77777777" w:rsidR="0090427B" w:rsidRPr="00495227" w:rsidRDefault="0090427B">
            <w:pPr>
              <w:spacing w:beforeLines="1" w:before="2"/>
              <w:rPr>
                <w:rFonts w:cstheme="minorHAnsi"/>
                <w:sz w:val="18"/>
                <w:szCs w:val="18"/>
              </w:rPr>
            </w:pPr>
            <w:r w:rsidRPr="00495227">
              <w:rPr>
                <w:rFonts w:cstheme="minorHAnsi"/>
                <w:sz w:val="18"/>
                <w:szCs w:val="18"/>
              </w:rPr>
              <w:t>Dr. Gaynor Evans (</w:t>
            </w:r>
            <w:r>
              <w:rPr>
                <w:rFonts w:cstheme="minorHAnsi"/>
                <w:sz w:val="18"/>
                <w:szCs w:val="18"/>
              </w:rPr>
              <w:t>MEDIN</w:t>
            </w:r>
            <w:r w:rsidRPr="00495227">
              <w:rPr>
                <w:rFonts w:cstheme="minorHAnsi"/>
                <w:sz w:val="18"/>
                <w:szCs w:val="18"/>
              </w:rPr>
              <w:t>)</w:t>
            </w:r>
          </w:p>
          <w:p w14:paraId="1EEAD4B2" w14:textId="77777777" w:rsidR="0090427B" w:rsidRPr="00116667" w:rsidRDefault="0090427B">
            <w:pPr>
              <w:spacing w:beforeLines="1" w:before="2"/>
              <w:rPr>
                <w:rFonts w:cstheme="minorHAnsi"/>
                <w:b/>
                <w:sz w:val="18"/>
                <w:szCs w:val="18"/>
              </w:rPr>
            </w:pPr>
            <w:r>
              <w:rPr>
                <w:rFonts w:cstheme="minorHAnsi"/>
                <w:b/>
                <w:sz w:val="18"/>
                <w:szCs w:val="18"/>
              </w:rPr>
              <w:t>Chair since 2008</w:t>
            </w:r>
          </w:p>
        </w:tc>
        <w:tc>
          <w:tcPr>
            <w:tcW w:w="2551" w:type="dxa"/>
            <w:tcBorders>
              <w:top w:val="double" w:sz="4" w:space="0" w:color="0075A2" w:themeColor="accent2" w:themeShade="BF"/>
              <w:left w:val="double" w:sz="4" w:space="0" w:color="009DD9" w:themeColor="accent2"/>
              <w:bottom w:val="double" w:sz="4" w:space="0" w:color="0075A2" w:themeColor="accent2" w:themeShade="BF"/>
            </w:tcBorders>
            <w:shd w:val="clear" w:color="auto" w:fill="C9F9FC" w:themeFill="accent3" w:themeFillTint="33"/>
          </w:tcPr>
          <w:p w14:paraId="68328EC7" w14:textId="77777777" w:rsidR="0090427B" w:rsidRDefault="0090427B">
            <w:pPr>
              <w:spacing w:beforeLines="1" w:before="2"/>
              <w:rPr>
                <w:rFonts w:cstheme="minorHAnsi"/>
                <w:sz w:val="18"/>
                <w:szCs w:val="18"/>
              </w:rPr>
            </w:pPr>
            <w:r>
              <w:rPr>
                <w:rFonts w:cstheme="minorHAnsi"/>
                <w:sz w:val="18"/>
                <w:szCs w:val="18"/>
              </w:rPr>
              <w:t>Dr. Clare Postlethwaite (MEDIN)</w:t>
            </w:r>
          </w:p>
          <w:p w14:paraId="619344B2" w14:textId="70268C5D" w:rsidR="0090427B" w:rsidRPr="00462F86" w:rsidRDefault="0090427B">
            <w:pPr>
              <w:spacing w:beforeLines="1" w:before="2"/>
              <w:rPr>
                <w:rFonts w:cstheme="minorHAnsi"/>
                <w:b/>
                <w:sz w:val="18"/>
                <w:szCs w:val="18"/>
              </w:rPr>
            </w:pPr>
            <w:r w:rsidRPr="00462F86">
              <w:rPr>
                <w:rFonts w:cstheme="minorHAnsi"/>
                <w:b/>
                <w:sz w:val="18"/>
                <w:szCs w:val="18"/>
              </w:rPr>
              <w:t>Chair since 2016</w:t>
            </w:r>
          </w:p>
        </w:tc>
      </w:tr>
    </w:tbl>
    <w:p w14:paraId="33A165D6" w14:textId="77777777" w:rsidR="00274152" w:rsidRPr="00E12EED" w:rsidRDefault="00274152" w:rsidP="00E12EED">
      <w:pPr>
        <w:rPr>
          <w:lang w:eastAsia="en-GB"/>
        </w:rPr>
      </w:pPr>
    </w:p>
    <w:p w14:paraId="51CC8BA6" w14:textId="77777777" w:rsidR="00F61CCE" w:rsidRDefault="00F61CCE" w:rsidP="00F61CCE">
      <w:pPr>
        <w:pStyle w:val="Heading2"/>
        <w:rPr>
          <w:lang w:eastAsia="en-GB"/>
        </w:rPr>
      </w:pPr>
      <w:r>
        <w:rPr>
          <w:lang w:eastAsia="en-GB"/>
        </w:rPr>
        <w:t>Parent Body</w:t>
      </w:r>
    </w:p>
    <w:p w14:paraId="2F162F08" w14:textId="51FFCFAF" w:rsidR="00F61CCE" w:rsidRDefault="00F61CCE" w:rsidP="00F61CCE">
      <w:pPr>
        <w:shd w:val="clear" w:color="auto" w:fill="FFFFFF"/>
        <w:spacing w:after="0" w:line="240" w:lineRule="auto"/>
        <w:rPr>
          <w:rFonts w:ascii="Calibri" w:eastAsia="Times New Roman" w:hAnsi="Calibri" w:cs="Calibri"/>
          <w:color w:val="323130"/>
          <w:lang w:eastAsia="en-GB"/>
        </w:rPr>
      </w:pPr>
      <w:r>
        <w:rPr>
          <w:rFonts w:ascii="Calibri" w:eastAsia="Times New Roman" w:hAnsi="Calibri" w:cs="Calibri"/>
          <w:color w:val="323130"/>
          <w:lang w:eastAsia="en-GB"/>
        </w:rPr>
        <w:t>The Marine Science Coordination Committee (MSCC) is the parent body for MEDIN, providing strategic direction</w:t>
      </w:r>
      <w:r w:rsidR="001C5F5E">
        <w:rPr>
          <w:rFonts w:ascii="Calibri" w:eastAsia="Times New Roman" w:hAnsi="Calibri" w:cs="Calibri"/>
          <w:color w:val="323130"/>
          <w:lang w:eastAsia="en-GB"/>
        </w:rPr>
        <w:t>,</w:t>
      </w:r>
      <w:r>
        <w:rPr>
          <w:rFonts w:ascii="Calibri" w:eastAsia="Times New Roman" w:hAnsi="Calibri" w:cs="Calibri"/>
          <w:color w:val="323130"/>
          <w:lang w:eastAsia="en-GB"/>
        </w:rPr>
        <w:t xml:space="preserve"> which MEDIN uses to define </w:t>
      </w:r>
      <w:r w:rsidR="00733B39">
        <w:rPr>
          <w:rFonts w:ascii="Calibri" w:eastAsia="Times New Roman" w:hAnsi="Calibri" w:cs="Calibri"/>
          <w:color w:val="323130"/>
          <w:lang w:eastAsia="en-GB"/>
        </w:rPr>
        <w:t>its</w:t>
      </w:r>
      <w:r>
        <w:rPr>
          <w:rFonts w:ascii="Calibri" w:eastAsia="Times New Roman" w:hAnsi="Calibri" w:cs="Calibri"/>
          <w:color w:val="323130"/>
          <w:lang w:eastAsia="en-GB"/>
        </w:rPr>
        <w:t xml:space="preserve"> high-level goals. MEDIN reports to MSCC through this annual report and shorter progress updates as requested. </w:t>
      </w:r>
    </w:p>
    <w:p w14:paraId="5DCF5AF1" w14:textId="77777777" w:rsidR="00E30B58" w:rsidRDefault="00E30B58" w:rsidP="00F61CCE">
      <w:pPr>
        <w:shd w:val="clear" w:color="auto" w:fill="FFFFFF"/>
        <w:spacing w:after="0" w:line="240" w:lineRule="auto"/>
        <w:rPr>
          <w:rFonts w:ascii="Calibri" w:eastAsia="Times New Roman" w:hAnsi="Calibri" w:cs="Calibri"/>
          <w:color w:val="323130"/>
          <w:lang w:eastAsia="en-GB"/>
        </w:rPr>
      </w:pPr>
    </w:p>
    <w:p w14:paraId="6AF0E4AF" w14:textId="77777777" w:rsidR="00F86083" w:rsidRDefault="00F86083" w:rsidP="00F86083">
      <w:pPr>
        <w:pStyle w:val="Heading2"/>
      </w:pPr>
      <w:r>
        <w:t>Administrative Body</w:t>
      </w:r>
    </w:p>
    <w:p w14:paraId="3681F5F4" w14:textId="77777777" w:rsidR="00F86083" w:rsidRPr="00F86083" w:rsidRDefault="00F86083" w:rsidP="00F86083">
      <w:r>
        <w:t>The</w:t>
      </w:r>
      <w:r w:rsidR="002E7931">
        <w:t xml:space="preserve"> management and operation of MED</w:t>
      </w:r>
      <w:r w:rsidR="00CD7984">
        <w:t>I</w:t>
      </w:r>
      <w:r w:rsidR="002E7931">
        <w:t xml:space="preserve">N is administered by the </w:t>
      </w:r>
      <w:r>
        <w:t>National Oceanography Centre</w:t>
      </w:r>
      <w:r w:rsidR="002E7931">
        <w:t xml:space="preserve"> (NOC)</w:t>
      </w:r>
      <w:r w:rsidR="00CD7984">
        <w:t>,</w:t>
      </w:r>
      <w:r w:rsidR="002E7931">
        <w:t xml:space="preserve"> on behalf of the </w:t>
      </w:r>
      <w:r w:rsidR="001C5F5E">
        <w:t>MSCC</w:t>
      </w:r>
      <w:r w:rsidR="002E7931">
        <w:t>.</w:t>
      </w:r>
    </w:p>
    <w:p w14:paraId="32C551B5" w14:textId="77777777" w:rsidR="00EB0C2A" w:rsidRPr="00885452" w:rsidRDefault="00EB0C2A" w:rsidP="006A1D4D">
      <w:pPr>
        <w:pStyle w:val="Heading2"/>
      </w:pPr>
      <w:r w:rsidRPr="00885452">
        <w:rPr>
          <w:rFonts w:eastAsia="Times New Roman"/>
          <w:noProof/>
          <w:lang w:eastAsia="en-GB"/>
        </w:rPr>
        <w:lastRenderedPageBreak/>
        <w:drawing>
          <wp:inline distT="0" distB="0" distL="0" distR="0" wp14:anchorId="724285C0" wp14:editId="1F8B3FC2">
            <wp:extent cx="6600825" cy="1885950"/>
            <wp:effectExtent l="38100" t="38100" r="9525" b="5715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3A1B0B79" w14:textId="4D2B9671" w:rsidR="009456BE" w:rsidRDefault="009456BE" w:rsidP="009456BE">
      <w:pPr>
        <w:shd w:val="clear" w:color="auto" w:fill="FFFFFF"/>
        <w:spacing w:after="0" w:line="240" w:lineRule="auto"/>
        <w:textAlignment w:val="baseline"/>
        <w:rPr>
          <w:rFonts w:ascii="Calibri" w:eastAsia="Times New Roman" w:hAnsi="Calibri" w:cs="Times New Roman"/>
          <w:color w:val="000000"/>
          <w:bdr w:val="none" w:sz="0" w:space="0" w:color="auto" w:frame="1"/>
          <w:lang w:eastAsia="en-GB"/>
        </w:rPr>
      </w:pPr>
      <w:r>
        <w:rPr>
          <w:rFonts w:ascii="Calibri" w:eastAsia="Times New Roman" w:hAnsi="Calibri" w:cs="Times New Roman"/>
          <w:color w:val="000000"/>
          <w:bdr w:val="none" w:sz="0" w:space="0" w:color="auto" w:frame="1"/>
          <w:lang w:eastAsia="en-GB"/>
        </w:rPr>
        <w:t xml:space="preserve">The MEDIN Data Archive Centres (DACs) provide the cornerstone for long-term management of UK marine data and </w:t>
      </w:r>
      <w:r w:rsidR="008A6C35">
        <w:rPr>
          <w:rFonts w:ascii="Calibri" w:eastAsia="Times New Roman" w:hAnsi="Calibri" w:cs="Times New Roman"/>
          <w:color w:val="000000"/>
          <w:bdr w:val="none" w:sz="0" w:space="0" w:color="auto" w:frame="1"/>
          <w:lang w:eastAsia="en-GB"/>
        </w:rPr>
        <w:t xml:space="preserve">are pivotal for delivering MEDIN’s </w:t>
      </w:r>
      <w:r>
        <w:rPr>
          <w:rFonts w:ascii="Calibri" w:eastAsia="Times New Roman" w:hAnsi="Calibri" w:cs="Times New Roman"/>
          <w:color w:val="000000"/>
          <w:bdr w:val="none" w:sz="0" w:space="0" w:color="auto" w:frame="1"/>
          <w:lang w:eastAsia="en-GB"/>
        </w:rPr>
        <w:t xml:space="preserve">'collect once, use many times' philosophy. The benefits of having a coordinated network of DACs and reusing data helps to avoid duplication of primary data gathering efforts, brings time savings through organisations not having to manage their own data (better formatting and storage), and contributes to the drive towards making data Findable, Accessible, Interoperable and Reusable (FAIR). </w:t>
      </w:r>
      <w:r w:rsidRPr="006D6DD0">
        <w:rPr>
          <w:rFonts w:ascii="Calibri" w:eastAsia="Times New Roman" w:hAnsi="Calibri" w:cs="Times New Roman"/>
          <w:color w:val="000000"/>
          <w:bdr w:val="none" w:sz="0" w:space="0" w:color="auto" w:frame="1"/>
          <w:lang w:eastAsia="en-GB"/>
        </w:rPr>
        <w:t xml:space="preserve">Currently </w:t>
      </w:r>
      <w:r w:rsidR="006D6DD0" w:rsidRPr="0038277D">
        <w:rPr>
          <w:rFonts w:ascii="Calibri" w:eastAsia="Times New Roman" w:hAnsi="Calibri" w:cs="Times New Roman"/>
          <w:color w:val="000000"/>
          <w:bdr w:val="none" w:sz="0" w:space="0" w:color="auto" w:frame="1"/>
          <w:lang w:eastAsia="en-GB"/>
        </w:rPr>
        <w:t>65</w:t>
      </w:r>
      <w:r w:rsidRPr="0038277D">
        <w:rPr>
          <w:rFonts w:ascii="Calibri" w:eastAsia="Times New Roman" w:hAnsi="Calibri" w:cs="Times New Roman"/>
          <w:color w:val="000000"/>
          <w:bdr w:val="none" w:sz="0" w:space="0" w:color="auto" w:frame="1"/>
          <w:lang w:eastAsia="en-GB"/>
        </w:rPr>
        <w:t>%</w:t>
      </w:r>
      <w:r w:rsidRPr="006D6DD0">
        <w:rPr>
          <w:rFonts w:ascii="Calibri" w:eastAsia="Times New Roman" w:hAnsi="Calibri" w:cs="Times New Roman"/>
          <w:color w:val="000000"/>
          <w:bdr w:val="none" w:sz="0" w:space="0" w:color="auto" w:frame="1"/>
          <w:lang w:eastAsia="en-GB"/>
        </w:rPr>
        <w:t xml:space="preserve"> of the d</w:t>
      </w:r>
      <w:r>
        <w:rPr>
          <w:rFonts w:ascii="Calibri" w:eastAsia="Times New Roman" w:hAnsi="Calibri" w:cs="Times New Roman"/>
          <w:color w:val="000000"/>
          <w:bdr w:val="none" w:sz="0" w:space="0" w:color="auto" w:frame="1"/>
          <w:lang w:eastAsia="en-GB"/>
        </w:rPr>
        <w:t>ata accessible from the MEDIN portal are considered “archive quality”. In other words, they are managed, quality controlled and disseminated by one of our accredited Data Archive Centres.</w:t>
      </w:r>
    </w:p>
    <w:p w14:paraId="3A93FD1F" w14:textId="77777777" w:rsidR="009456BE" w:rsidRDefault="009456BE" w:rsidP="009456BE">
      <w:pPr>
        <w:shd w:val="clear" w:color="auto" w:fill="FFFFFF"/>
        <w:spacing w:after="0" w:line="240" w:lineRule="auto"/>
        <w:textAlignment w:val="baseline"/>
        <w:rPr>
          <w:rFonts w:ascii="Calibri" w:eastAsia="Times New Roman" w:hAnsi="Calibri" w:cs="Times New Roman"/>
          <w:color w:val="000000"/>
          <w:lang w:eastAsia="en-GB"/>
        </w:rPr>
      </w:pPr>
    </w:p>
    <w:p w14:paraId="5A6251C5" w14:textId="77777777" w:rsidR="009456BE" w:rsidRDefault="009456BE" w:rsidP="009456BE">
      <w:pPr>
        <w:shd w:val="clear" w:color="auto" w:fill="FFFFFF"/>
        <w:spacing w:after="0" w:line="240" w:lineRule="auto"/>
        <w:textAlignment w:val="baseline"/>
        <w:rPr>
          <w:rFonts w:ascii="Calibri" w:eastAsia="Times New Roman" w:hAnsi="Calibri" w:cs="Times New Roman"/>
          <w:color w:val="000000"/>
          <w:lang w:eastAsia="en-GB"/>
        </w:rPr>
      </w:pPr>
      <w:r>
        <w:rPr>
          <w:rFonts w:ascii="Calibri" w:eastAsia="Times New Roman" w:hAnsi="Calibri" w:cs="Times New Roman"/>
          <w:color w:val="000000"/>
          <w:lang w:eastAsia="en-GB"/>
        </w:rPr>
        <w:t>Our DACs provide</w:t>
      </w:r>
    </w:p>
    <w:p w14:paraId="08E7E5A9" w14:textId="77777777" w:rsidR="009456BE" w:rsidRDefault="009456BE" w:rsidP="009456BE">
      <w:pPr>
        <w:numPr>
          <w:ilvl w:val="0"/>
          <w:numId w:val="22"/>
        </w:numPr>
        <w:shd w:val="clear" w:color="auto" w:fill="FFFFFF"/>
        <w:spacing w:before="100" w:beforeAutospacing="1" w:after="100" w:afterAutospacing="1" w:line="240" w:lineRule="auto"/>
        <w:textAlignment w:val="baseline"/>
        <w:rPr>
          <w:rFonts w:ascii="Calibri" w:eastAsia="Times New Roman" w:hAnsi="Calibri" w:cs="Times New Roman"/>
          <w:color w:val="000000"/>
          <w:bdr w:val="none" w:sz="0" w:space="0" w:color="auto" w:frame="1"/>
          <w:lang w:eastAsia="en-GB"/>
        </w:rPr>
      </w:pPr>
      <w:r>
        <w:rPr>
          <w:rFonts w:ascii="Calibri" w:eastAsia="Times New Roman" w:hAnsi="Calibri" w:cs="Times New Roman"/>
          <w:color w:val="000000"/>
          <w:bdr w:val="none" w:sz="0" w:space="0" w:color="auto" w:frame="1"/>
          <w:lang w:eastAsia="en-GB"/>
        </w:rPr>
        <w:t>Secure, long-term curation of key marine data sets, according to best practice and to relevant national and international standards.</w:t>
      </w:r>
    </w:p>
    <w:p w14:paraId="436237DF" w14:textId="77777777" w:rsidR="009456BE" w:rsidRDefault="009456BE" w:rsidP="009456BE">
      <w:pPr>
        <w:numPr>
          <w:ilvl w:val="0"/>
          <w:numId w:val="22"/>
        </w:numPr>
        <w:shd w:val="clear" w:color="auto" w:fill="FFFFFF"/>
        <w:spacing w:before="100" w:beforeAutospacing="1" w:after="100" w:afterAutospacing="1" w:line="240" w:lineRule="auto"/>
        <w:textAlignment w:val="baseline"/>
        <w:rPr>
          <w:rFonts w:ascii="Calibri" w:eastAsia="Times New Roman" w:hAnsi="Calibri" w:cs="Times New Roman"/>
          <w:color w:val="000000"/>
          <w:bdr w:val="none" w:sz="0" w:space="0" w:color="auto" w:frame="1"/>
          <w:lang w:eastAsia="en-GB"/>
        </w:rPr>
      </w:pPr>
      <w:r>
        <w:rPr>
          <w:rFonts w:ascii="Calibri" w:eastAsia="Times New Roman" w:hAnsi="Calibri" w:cs="Times New Roman"/>
          <w:color w:val="000000"/>
          <w:bdr w:val="none" w:sz="0" w:space="0" w:color="auto" w:frame="1"/>
          <w:lang w:eastAsia="en-GB"/>
        </w:rPr>
        <w:t>Clear, searchable information on their data holdings by the generation and publication of metadata on the MEDIN portal.</w:t>
      </w:r>
    </w:p>
    <w:p w14:paraId="2A0637AF" w14:textId="77777777" w:rsidR="009456BE" w:rsidRDefault="009456BE" w:rsidP="009456BE">
      <w:pPr>
        <w:numPr>
          <w:ilvl w:val="0"/>
          <w:numId w:val="22"/>
        </w:numPr>
        <w:shd w:val="clear" w:color="auto" w:fill="FFFFFF"/>
        <w:spacing w:before="100" w:beforeAutospacing="1" w:after="100" w:afterAutospacing="1" w:line="240" w:lineRule="auto"/>
        <w:textAlignment w:val="baseline"/>
        <w:rPr>
          <w:rFonts w:ascii="Calibri" w:eastAsia="Times New Roman" w:hAnsi="Calibri" w:cs="Times New Roman"/>
          <w:color w:val="000000"/>
          <w:bdr w:val="none" w:sz="0" w:space="0" w:color="auto" w:frame="1"/>
          <w:lang w:eastAsia="en-GB"/>
        </w:rPr>
      </w:pPr>
      <w:r>
        <w:rPr>
          <w:rFonts w:ascii="Calibri" w:eastAsia="Times New Roman" w:hAnsi="Calibri" w:cs="Times New Roman"/>
          <w:color w:val="000000"/>
          <w:bdr w:val="none" w:sz="0" w:space="0" w:color="auto" w:frame="1"/>
          <w:lang w:eastAsia="en-GB"/>
        </w:rPr>
        <w:t>Open and easy access to their data, wherever possible.</w:t>
      </w:r>
    </w:p>
    <w:p w14:paraId="4B930DF7" w14:textId="77777777" w:rsidR="009456BE" w:rsidRDefault="009456BE" w:rsidP="009456BE">
      <w:pPr>
        <w:numPr>
          <w:ilvl w:val="0"/>
          <w:numId w:val="22"/>
        </w:numPr>
        <w:shd w:val="clear" w:color="auto" w:fill="FFFFFF"/>
        <w:spacing w:before="100" w:beforeAutospacing="1" w:after="100" w:afterAutospacing="1" w:line="240" w:lineRule="auto"/>
        <w:textAlignment w:val="baseline"/>
        <w:rPr>
          <w:rFonts w:ascii="Calibri" w:eastAsia="Times New Roman" w:hAnsi="Calibri" w:cs="Times New Roman"/>
          <w:color w:val="000000"/>
          <w:bdr w:val="none" w:sz="0" w:space="0" w:color="auto" w:frame="1"/>
          <w:lang w:eastAsia="en-GB"/>
        </w:rPr>
      </w:pPr>
      <w:r>
        <w:rPr>
          <w:rFonts w:ascii="Calibri" w:eastAsia="Times New Roman" w:hAnsi="Calibri" w:cs="Times New Roman"/>
          <w:color w:val="000000"/>
          <w:bdr w:val="none" w:sz="0" w:space="0" w:color="auto" w:frame="1"/>
          <w:lang w:eastAsia="en-GB"/>
        </w:rPr>
        <w:t>The first point of call for expertise in the management of marine data.</w:t>
      </w:r>
    </w:p>
    <w:p w14:paraId="638B8AF4" w14:textId="77777777" w:rsidR="009456BE" w:rsidRDefault="009456BE" w:rsidP="009456BE">
      <w:pPr>
        <w:shd w:val="clear" w:color="auto" w:fill="FFFFFF"/>
        <w:spacing w:after="0" w:line="240" w:lineRule="auto"/>
        <w:jc w:val="both"/>
        <w:textAlignment w:val="baseline"/>
        <w:rPr>
          <w:rFonts w:ascii="Times New Roman" w:eastAsia="Times New Roman" w:hAnsi="Times New Roman" w:cs="Times New Roman"/>
          <w:color w:val="000000"/>
          <w:bdr w:val="none" w:sz="0" w:space="0" w:color="auto" w:frame="1"/>
          <w:lang w:eastAsia="en-GB"/>
        </w:rPr>
      </w:pPr>
      <w:r>
        <w:rPr>
          <w:rFonts w:ascii="Calibri" w:eastAsia="Times New Roman" w:hAnsi="Calibri" w:cs="Times New Roman"/>
          <w:color w:val="000000"/>
          <w:bdr w:val="none" w:sz="0" w:space="0" w:color="auto" w:frame="1"/>
          <w:lang w:eastAsia="en-GB"/>
        </w:rPr>
        <w:t xml:space="preserve">The DACs cover a wide spectrum of data within the marine environment, including bathymetry; fish and shellfish, fisheries, aquaculture and related samples; the historic environment; marine geology and geophysics; marine species and habitats; marine meteorology; water column oceanography.  The MEDIN DAC network provides users with a safe place to deposit and access data for the long term.   </w:t>
      </w:r>
    </w:p>
    <w:p w14:paraId="7B5EA4C1" w14:textId="77777777" w:rsidR="009456BE" w:rsidRDefault="009456BE" w:rsidP="009456BE">
      <w:pPr>
        <w:shd w:val="clear" w:color="auto" w:fill="FFFFFF"/>
        <w:spacing w:after="0" w:line="240" w:lineRule="auto"/>
        <w:textAlignment w:val="baseline"/>
        <w:rPr>
          <w:rFonts w:ascii="Calibri" w:eastAsia="Times New Roman" w:hAnsi="Calibri" w:cs="Times New Roman"/>
          <w:color w:val="000000"/>
          <w:sz w:val="24"/>
          <w:szCs w:val="24"/>
          <w:lang w:eastAsia="en-GB"/>
        </w:rPr>
      </w:pPr>
    </w:p>
    <w:p w14:paraId="78E37273" w14:textId="77777777" w:rsidR="009456BE" w:rsidRDefault="009456BE" w:rsidP="009456BE">
      <w:pPr>
        <w:pStyle w:val="Heading2"/>
      </w:pPr>
      <w:r>
        <w:t>We provide direct access to UK marine data</w:t>
      </w:r>
    </w:p>
    <w:p w14:paraId="48AAAD2C" w14:textId="692E20E6" w:rsidR="009456BE" w:rsidRDefault="009456BE" w:rsidP="009456BE">
      <w:pPr>
        <w:spacing w:before="60" w:after="60" w:line="240" w:lineRule="auto"/>
        <w:rPr>
          <w:rFonts w:ascii="Calibri" w:eastAsia="Times New Roman" w:hAnsi="Calibri" w:cs="Times New Roman"/>
          <w:color w:val="000000"/>
          <w:bdr w:val="none" w:sz="0" w:space="0" w:color="auto" w:frame="1"/>
          <w:lang w:eastAsia="en-GB"/>
        </w:rPr>
      </w:pPr>
      <w:r>
        <w:rPr>
          <w:rFonts w:ascii="Calibri" w:eastAsia="Times New Roman" w:hAnsi="Calibri" w:cs="Times New Roman"/>
          <w:color w:val="000000"/>
          <w:bdr w:val="none" w:sz="0" w:space="0" w:color="auto" w:frame="1"/>
          <w:lang w:eastAsia="en-GB"/>
        </w:rPr>
        <w:t xml:space="preserve">We promote open and easy access to marine data. Our DACs continue to develop their systems and processes to make it as easy as possible to access the data they manage. This year we continued to improve direct access to data, whereby a user can access data from the MEDIN Portal within ‘2 </w:t>
      </w:r>
      <w:proofErr w:type="gramStart"/>
      <w:r>
        <w:rPr>
          <w:rFonts w:ascii="Calibri" w:eastAsia="Times New Roman" w:hAnsi="Calibri" w:cs="Times New Roman"/>
          <w:color w:val="000000"/>
          <w:bdr w:val="none" w:sz="0" w:space="0" w:color="auto" w:frame="1"/>
          <w:lang w:eastAsia="en-GB"/>
        </w:rPr>
        <w:t>clicks’</w:t>
      </w:r>
      <w:proofErr w:type="gramEnd"/>
      <w:r>
        <w:rPr>
          <w:rFonts w:ascii="Calibri" w:eastAsia="Times New Roman" w:hAnsi="Calibri" w:cs="Times New Roman"/>
          <w:color w:val="000000"/>
          <w:bdr w:val="none" w:sz="0" w:space="0" w:color="auto" w:frame="1"/>
          <w:lang w:eastAsia="en-GB"/>
        </w:rPr>
        <w:t xml:space="preserve">. </w:t>
      </w:r>
      <w:r w:rsidR="008D0475">
        <w:rPr>
          <w:rFonts w:ascii="Calibri" w:eastAsia="Times New Roman" w:hAnsi="Calibri" w:cs="Times New Roman"/>
          <w:color w:val="000000"/>
          <w:bdr w:val="none" w:sz="0" w:space="0" w:color="auto" w:frame="1"/>
          <w:lang w:eastAsia="en-GB"/>
        </w:rPr>
        <w:t>Three</w:t>
      </w:r>
      <w:r>
        <w:rPr>
          <w:rFonts w:ascii="Calibri" w:eastAsia="Times New Roman" w:hAnsi="Calibri" w:cs="Times New Roman"/>
          <w:color w:val="000000"/>
          <w:bdr w:val="none" w:sz="0" w:space="0" w:color="auto" w:frame="1"/>
          <w:lang w:eastAsia="en-GB"/>
        </w:rPr>
        <w:t xml:space="preserve"> of our DACs provide direct access to over 80% of their data holdings, with t</w:t>
      </w:r>
      <w:r w:rsidR="008D0475">
        <w:rPr>
          <w:rFonts w:ascii="Calibri" w:eastAsia="Times New Roman" w:hAnsi="Calibri" w:cs="Times New Roman"/>
          <w:color w:val="000000"/>
          <w:bdr w:val="none" w:sz="0" w:space="0" w:color="auto" w:frame="1"/>
          <w:lang w:eastAsia="en-GB"/>
        </w:rPr>
        <w:t>wo</w:t>
      </w:r>
      <w:r>
        <w:rPr>
          <w:rFonts w:ascii="Calibri" w:eastAsia="Times New Roman" w:hAnsi="Calibri" w:cs="Times New Roman"/>
          <w:color w:val="000000"/>
          <w:bdr w:val="none" w:sz="0" w:space="0" w:color="auto" w:frame="1"/>
          <w:lang w:eastAsia="en-GB"/>
        </w:rPr>
        <w:t xml:space="preserve"> of those at 90% or over</w:t>
      </w:r>
      <w:r w:rsidR="00C375CB">
        <w:rPr>
          <w:rFonts w:ascii="Calibri" w:eastAsia="Times New Roman" w:hAnsi="Calibri" w:cs="Times New Roman"/>
          <w:color w:val="000000"/>
          <w:bdr w:val="none" w:sz="0" w:space="0" w:color="auto" w:frame="1"/>
          <w:lang w:eastAsia="en-GB"/>
        </w:rPr>
        <w:t xml:space="preserve"> (</w:t>
      </w:r>
      <w:r w:rsidR="006E3E85">
        <w:rPr>
          <w:rFonts w:ascii="Calibri" w:eastAsia="Times New Roman" w:hAnsi="Calibri" w:cs="Times New Roman"/>
          <w:color w:val="000000"/>
          <w:bdr w:val="none" w:sz="0" w:space="0" w:color="auto" w:frame="1"/>
          <w:lang w:eastAsia="en-GB"/>
        </w:rPr>
        <w:t>F</w:t>
      </w:r>
      <w:r w:rsidR="00C375CB">
        <w:rPr>
          <w:rFonts w:ascii="Calibri" w:eastAsia="Times New Roman" w:hAnsi="Calibri" w:cs="Times New Roman"/>
          <w:color w:val="000000"/>
          <w:bdr w:val="none" w:sz="0" w:space="0" w:color="auto" w:frame="1"/>
          <w:lang w:eastAsia="en-GB"/>
        </w:rPr>
        <w:t>igure 1)</w:t>
      </w:r>
      <w:r>
        <w:rPr>
          <w:rFonts w:ascii="Calibri" w:eastAsia="Times New Roman" w:hAnsi="Calibri" w:cs="Times New Roman"/>
          <w:color w:val="000000"/>
          <w:bdr w:val="none" w:sz="0" w:space="0" w:color="auto" w:frame="1"/>
          <w:lang w:eastAsia="en-GB"/>
        </w:rPr>
        <w:t xml:space="preserve">. In total, 40% of the data held in our DACs are available to download or use within ‘2 clicks’ of finding it, without needing to register, login or carry out additional searches. This figure remains under 50% unfortunately as UKHO, who manage over 4,500 of the data sets in the MEDIN portal, have been unable to make progress with this initiative this year, </w:t>
      </w:r>
      <w:r w:rsidR="00D365E0">
        <w:rPr>
          <w:rFonts w:ascii="Calibri" w:eastAsia="Times New Roman" w:hAnsi="Calibri" w:cs="Times New Roman"/>
          <w:color w:val="000000"/>
          <w:bdr w:val="none" w:sz="0" w:space="0" w:color="auto" w:frame="1"/>
          <w:lang w:eastAsia="en-GB"/>
        </w:rPr>
        <w:t xml:space="preserve">mainly because of </w:t>
      </w:r>
      <w:r>
        <w:rPr>
          <w:rFonts w:ascii="Calibri" w:eastAsia="Times New Roman" w:hAnsi="Calibri" w:cs="Times New Roman"/>
          <w:color w:val="000000"/>
          <w:bdr w:val="none" w:sz="0" w:space="0" w:color="auto" w:frame="1"/>
          <w:lang w:eastAsia="en-GB"/>
        </w:rPr>
        <w:t xml:space="preserve">the impact of </w:t>
      </w:r>
      <w:r w:rsidR="005A1B56">
        <w:rPr>
          <w:rFonts w:ascii="Calibri" w:eastAsia="Times New Roman" w:hAnsi="Calibri" w:cs="Times New Roman"/>
          <w:color w:val="000000"/>
          <w:bdr w:val="none" w:sz="0" w:space="0" w:color="auto" w:frame="1"/>
          <w:lang w:eastAsia="en-GB"/>
        </w:rPr>
        <w:t>COVID</w:t>
      </w:r>
      <w:r>
        <w:rPr>
          <w:rFonts w:ascii="Calibri" w:eastAsia="Times New Roman" w:hAnsi="Calibri" w:cs="Times New Roman"/>
          <w:color w:val="000000"/>
          <w:bdr w:val="none" w:sz="0" w:space="0" w:color="auto" w:frame="1"/>
          <w:lang w:eastAsia="en-GB"/>
        </w:rPr>
        <w:t>-19 on staff.</w:t>
      </w:r>
    </w:p>
    <w:tbl>
      <w:tblPr>
        <w:tblStyle w:val="TableGrid"/>
        <w:tblW w:w="11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6"/>
        <w:gridCol w:w="7049"/>
      </w:tblGrid>
      <w:tr w:rsidR="009456BE" w14:paraId="7D0E0B02" w14:textId="77777777" w:rsidTr="009456BE">
        <w:trPr>
          <w:trHeight w:val="3861"/>
        </w:trPr>
        <w:tc>
          <w:tcPr>
            <w:tcW w:w="4248" w:type="dxa"/>
            <w:hideMark/>
          </w:tcPr>
          <w:tbl>
            <w:tblPr>
              <w:tblStyle w:val="TableGrid"/>
              <w:tblW w:w="3825" w:type="dxa"/>
              <w:tblInd w:w="1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
              <w:gridCol w:w="2835"/>
            </w:tblGrid>
            <w:tr w:rsidR="009456BE" w14:paraId="780AC352" w14:textId="77777777">
              <w:trPr>
                <w:trHeight w:val="263"/>
              </w:trPr>
              <w:tc>
                <w:tcPr>
                  <w:tcW w:w="3825" w:type="dxa"/>
                  <w:gridSpan w:val="2"/>
                  <w:tcBorders>
                    <w:top w:val="nil"/>
                    <w:left w:val="nil"/>
                    <w:bottom w:val="double" w:sz="4" w:space="0" w:color="089BA2" w:themeColor="accent3" w:themeShade="BF"/>
                    <w:right w:val="nil"/>
                  </w:tcBorders>
                  <w:vAlign w:val="center"/>
                  <w:hideMark/>
                </w:tcPr>
                <w:p w14:paraId="56C25384" w14:textId="77777777" w:rsidR="009456BE" w:rsidRDefault="009456BE">
                  <w:pPr>
                    <w:jc w:val="both"/>
                    <w:rPr>
                      <w:b/>
                      <w:sz w:val="18"/>
                      <w:szCs w:val="18"/>
                      <w:lang w:eastAsia="en-GB"/>
                    </w:rPr>
                  </w:pPr>
                  <w:r>
                    <w:rPr>
                      <w:b/>
                      <w:sz w:val="18"/>
                      <w:szCs w:val="18"/>
                    </w:rPr>
                    <w:lastRenderedPageBreak/>
                    <w:t>MEDIN’s accredited Data Archive Centres</w:t>
                  </w:r>
                </w:p>
              </w:tc>
            </w:tr>
            <w:tr w:rsidR="009456BE" w14:paraId="2DD2C0A3" w14:textId="77777777">
              <w:trPr>
                <w:trHeight w:val="242"/>
              </w:trPr>
              <w:tc>
                <w:tcPr>
                  <w:tcW w:w="990" w:type="dxa"/>
                  <w:hideMark/>
                </w:tcPr>
                <w:p w14:paraId="4FF40EDC" w14:textId="77777777" w:rsidR="009456BE" w:rsidRDefault="009456BE">
                  <w:pPr>
                    <w:jc w:val="both"/>
                    <w:rPr>
                      <w:sz w:val="18"/>
                      <w:szCs w:val="18"/>
                      <w:lang w:eastAsia="en-GB"/>
                    </w:rPr>
                  </w:pPr>
                  <w:r>
                    <w:rPr>
                      <w:sz w:val="18"/>
                      <w:szCs w:val="18"/>
                    </w:rPr>
                    <w:t xml:space="preserve">ADS </w:t>
                  </w:r>
                </w:p>
              </w:tc>
              <w:tc>
                <w:tcPr>
                  <w:tcW w:w="2835" w:type="dxa"/>
                  <w:hideMark/>
                </w:tcPr>
                <w:p w14:paraId="60EAE151" w14:textId="77777777" w:rsidR="009456BE" w:rsidRDefault="009456BE">
                  <w:pPr>
                    <w:jc w:val="both"/>
                    <w:rPr>
                      <w:sz w:val="18"/>
                      <w:szCs w:val="18"/>
                      <w:lang w:eastAsia="en-GB"/>
                    </w:rPr>
                  </w:pPr>
                  <w:r>
                    <w:rPr>
                      <w:sz w:val="18"/>
                      <w:szCs w:val="18"/>
                    </w:rPr>
                    <w:t>Archaeology Data Service</w:t>
                  </w:r>
                </w:p>
              </w:tc>
            </w:tr>
            <w:tr w:rsidR="009456BE" w14:paraId="2B32A02A" w14:textId="77777777">
              <w:trPr>
                <w:trHeight w:val="263"/>
              </w:trPr>
              <w:tc>
                <w:tcPr>
                  <w:tcW w:w="990" w:type="dxa"/>
                  <w:hideMark/>
                </w:tcPr>
                <w:p w14:paraId="0934E963" w14:textId="77777777" w:rsidR="009456BE" w:rsidRDefault="009456BE">
                  <w:pPr>
                    <w:jc w:val="both"/>
                    <w:rPr>
                      <w:sz w:val="18"/>
                      <w:szCs w:val="18"/>
                      <w:lang w:eastAsia="en-GB"/>
                    </w:rPr>
                  </w:pPr>
                  <w:r>
                    <w:rPr>
                      <w:sz w:val="18"/>
                      <w:szCs w:val="18"/>
                    </w:rPr>
                    <w:t>BGS</w:t>
                  </w:r>
                </w:p>
              </w:tc>
              <w:tc>
                <w:tcPr>
                  <w:tcW w:w="2835" w:type="dxa"/>
                  <w:hideMark/>
                </w:tcPr>
                <w:p w14:paraId="4DEA28F8" w14:textId="77777777" w:rsidR="009456BE" w:rsidRDefault="009456BE">
                  <w:pPr>
                    <w:jc w:val="both"/>
                    <w:rPr>
                      <w:sz w:val="18"/>
                      <w:szCs w:val="18"/>
                      <w:lang w:eastAsia="en-GB"/>
                    </w:rPr>
                  </w:pPr>
                  <w:r>
                    <w:rPr>
                      <w:sz w:val="18"/>
                      <w:szCs w:val="18"/>
                    </w:rPr>
                    <w:t>British Geological Survey</w:t>
                  </w:r>
                </w:p>
              </w:tc>
            </w:tr>
            <w:tr w:rsidR="009456BE" w14:paraId="2FF64604" w14:textId="77777777">
              <w:trPr>
                <w:trHeight w:val="263"/>
              </w:trPr>
              <w:tc>
                <w:tcPr>
                  <w:tcW w:w="990" w:type="dxa"/>
                  <w:hideMark/>
                </w:tcPr>
                <w:p w14:paraId="50373E94" w14:textId="77777777" w:rsidR="009456BE" w:rsidRDefault="009456BE">
                  <w:pPr>
                    <w:jc w:val="both"/>
                    <w:rPr>
                      <w:sz w:val="18"/>
                      <w:szCs w:val="18"/>
                      <w:lang w:eastAsia="en-GB"/>
                    </w:rPr>
                  </w:pPr>
                  <w:r>
                    <w:rPr>
                      <w:sz w:val="18"/>
                      <w:szCs w:val="18"/>
                    </w:rPr>
                    <w:t>BODC</w:t>
                  </w:r>
                </w:p>
              </w:tc>
              <w:tc>
                <w:tcPr>
                  <w:tcW w:w="2835" w:type="dxa"/>
                  <w:hideMark/>
                </w:tcPr>
                <w:p w14:paraId="72688D01" w14:textId="77777777" w:rsidR="009456BE" w:rsidRDefault="009456BE">
                  <w:pPr>
                    <w:jc w:val="both"/>
                    <w:rPr>
                      <w:sz w:val="18"/>
                      <w:szCs w:val="18"/>
                      <w:lang w:eastAsia="en-GB"/>
                    </w:rPr>
                  </w:pPr>
                  <w:r>
                    <w:rPr>
                      <w:sz w:val="18"/>
                      <w:szCs w:val="18"/>
                    </w:rPr>
                    <w:t>British Oceanographic Data Centre</w:t>
                  </w:r>
                </w:p>
              </w:tc>
            </w:tr>
            <w:tr w:rsidR="009456BE" w14:paraId="490F6012" w14:textId="77777777">
              <w:trPr>
                <w:trHeight w:val="242"/>
              </w:trPr>
              <w:tc>
                <w:tcPr>
                  <w:tcW w:w="990" w:type="dxa"/>
                  <w:hideMark/>
                </w:tcPr>
                <w:p w14:paraId="15E8DB9A" w14:textId="77777777" w:rsidR="009456BE" w:rsidRDefault="009456BE">
                  <w:pPr>
                    <w:jc w:val="both"/>
                    <w:rPr>
                      <w:sz w:val="18"/>
                      <w:szCs w:val="18"/>
                      <w:lang w:eastAsia="en-GB"/>
                    </w:rPr>
                  </w:pPr>
                  <w:r>
                    <w:rPr>
                      <w:sz w:val="18"/>
                      <w:szCs w:val="18"/>
                    </w:rPr>
                    <w:t>Cefas</w:t>
                  </w:r>
                </w:p>
              </w:tc>
              <w:tc>
                <w:tcPr>
                  <w:tcW w:w="2835" w:type="dxa"/>
                  <w:hideMark/>
                </w:tcPr>
                <w:p w14:paraId="213D55C0" w14:textId="77777777" w:rsidR="009456BE" w:rsidRDefault="009456BE">
                  <w:pPr>
                    <w:jc w:val="both"/>
                    <w:rPr>
                      <w:sz w:val="18"/>
                      <w:szCs w:val="18"/>
                      <w:lang w:eastAsia="en-GB"/>
                    </w:rPr>
                  </w:pPr>
                  <w:r>
                    <w:rPr>
                      <w:sz w:val="18"/>
                      <w:szCs w:val="18"/>
                    </w:rPr>
                    <w:t>Centre for Environment, Fisheries and Aquaculture Science</w:t>
                  </w:r>
                </w:p>
              </w:tc>
            </w:tr>
            <w:tr w:rsidR="009456BE" w14:paraId="5905BE9F" w14:textId="77777777">
              <w:trPr>
                <w:trHeight w:val="263"/>
              </w:trPr>
              <w:tc>
                <w:tcPr>
                  <w:tcW w:w="990" w:type="dxa"/>
                  <w:hideMark/>
                </w:tcPr>
                <w:p w14:paraId="6DE56AA7" w14:textId="77777777" w:rsidR="009456BE" w:rsidRDefault="009456BE">
                  <w:pPr>
                    <w:jc w:val="both"/>
                    <w:rPr>
                      <w:rFonts w:cstheme="minorHAnsi"/>
                      <w:sz w:val="18"/>
                      <w:szCs w:val="18"/>
                    </w:rPr>
                  </w:pPr>
                  <w:r>
                    <w:rPr>
                      <w:sz w:val="18"/>
                      <w:szCs w:val="18"/>
                    </w:rPr>
                    <w:t>DASSH</w:t>
                  </w:r>
                </w:p>
              </w:tc>
              <w:tc>
                <w:tcPr>
                  <w:tcW w:w="2835" w:type="dxa"/>
                  <w:hideMark/>
                </w:tcPr>
                <w:p w14:paraId="153979E3" w14:textId="77777777" w:rsidR="009456BE" w:rsidRDefault="009456BE">
                  <w:pPr>
                    <w:jc w:val="both"/>
                    <w:rPr>
                      <w:rFonts w:cstheme="minorHAnsi"/>
                      <w:sz w:val="18"/>
                      <w:szCs w:val="18"/>
                    </w:rPr>
                  </w:pPr>
                  <w:r>
                    <w:rPr>
                      <w:rFonts w:cstheme="minorHAnsi"/>
                      <w:sz w:val="18"/>
                      <w:szCs w:val="18"/>
                    </w:rPr>
                    <w:t>Archive for Marine Species and Habitats Data</w:t>
                  </w:r>
                </w:p>
              </w:tc>
            </w:tr>
            <w:tr w:rsidR="009456BE" w14:paraId="6362D429" w14:textId="77777777">
              <w:trPr>
                <w:trHeight w:val="263"/>
              </w:trPr>
              <w:tc>
                <w:tcPr>
                  <w:tcW w:w="990" w:type="dxa"/>
                  <w:hideMark/>
                </w:tcPr>
                <w:p w14:paraId="4C6ECCB4" w14:textId="77777777" w:rsidR="009456BE" w:rsidRDefault="009456BE">
                  <w:pPr>
                    <w:jc w:val="both"/>
                    <w:rPr>
                      <w:sz w:val="18"/>
                      <w:szCs w:val="18"/>
                      <w:lang w:eastAsia="en-GB"/>
                    </w:rPr>
                  </w:pPr>
                  <w:r>
                    <w:rPr>
                      <w:sz w:val="18"/>
                      <w:szCs w:val="18"/>
                    </w:rPr>
                    <w:t>HES</w:t>
                  </w:r>
                </w:p>
              </w:tc>
              <w:tc>
                <w:tcPr>
                  <w:tcW w:w="2835" w:type="dxa"/>
                  <w:hideMark/>
                </w:tcPr>
                <w:p w14:paraId="51AFE14B" w14:textId="77777777" w:rsidR="009456BE" w:rsidRDefault="009456BE">
                  <w:pPr>
                    <w:jc w:val="both"/>
                    <w:rPr>
                      <w:sz w:val="18"/>
                      <w:szCs w:val="18"/>
                      <w:lang w:eastAsia="en-GB"/>
                    </w:rPr>
                  </w:pPr>
                  <w:r>
                    <w:rPr>
                      <w:sz w:val="18"/>
                      <w:szCs w:val="18"/>
                    </w:rPr>
                    <w:t>Historic Environment Scotland</w:t>
                  </w:r>
                </w:p>
              </w:tc>
            </w:tr>
            <w:tr w:rsidR="009456BE" w14:paraId="563AE03B" w14:textId="77777777">
              <w:trPr>
                <w:trHeight w:val="263"/>
              </w:trPr>
              <w:tc>
                <w:tcPr>
                  <w:tcW w:w="990" w:type="dxa"/>
                  <w:hideMark/>
                </w:tcPr>
                <w:p w14:paraId="61720188" w14:textId="77777777" w:rsidR="009456BE" w:rsidRDefault="009456BE">
                  <w:pPr>
                    <w:jc w:val="both"/>
                    <w:rPr>
                      <w:rFonts w:cstheme="minorHAnsi"/>
                      <w:sz w:val="18"/>
                      <w:szCs w:val="18"/>
                    </w:rPr>
                  </w:pPr>
                  <w:r>
                    <w:rPr>
                      <w:sz w:val="18"/>
                      <w:szCs w:val="18"/>
                    </w:rPr>
                    <w:t>Met Office</w:t>
                  </w:r>
                </w:p>
              </w:tc>
              <w:tc>
                <w:tcPr>
                  <w:tcW w:w="2835" w:type="dxa"/>
                </w:tcPr>
                <w:p w14:paraId="6DB1BA09" w14:textId="77777777" w:rsidR="009456BE" w:rsidRDefault="009456BE">
                  <w:pPr>
                    <w:jc w:val="both"/>
                    <w:rPr>
                      <w:sz w:val="18"/>
                      <w:szCs w:val="18"/>
                      <w:lang w:eastAsia="en-GB"/>
                    </w:rPr>
                  </w:pPr>
                </w:p>
              </w:tc>
            </w:tr>
            <w:tr w:rsidR="009456BE" w14:paraId="4D94C870" w14:textId="77777777">
              <w:trPr>
                <w:trHeight w:val="242"/>
              </w:trPr>
              <w:tc>
                <w:tcPr>
                  <w:tcW w:w="990" w:type="dxa"/>
                  <w:hideMark/>
                </w:tcPr>
                <w:p w14:paraId="2BB9261B" w14:textId="77777777" w:rsidR="009456BE" w:rsidRDefault="009456BE">
                  <w:pPr>
                    <w:jc w:val="both"/>
                    <w:rPr>
                      <w:rFonts w:cstheme="minorHAnsi"/>
                      <w:sz w:val="18"/>
                      <w:szCs w:val="18"/>
                    </w:rPr>
                  </w:pPr>
                  <w:r>
                    <w:rPr>
                      <w:sz w:val="18"/>
                      <w:szCs w:val="18"/>
                    </w:rPr>
                    <w:t>MSS</w:t>
                  </w:r>
                </w:p>
              </w:tc>
              <w:tc>
                <w:tcPr>
                  <w:tcW w:w="2835" w:type="dxa"/>
                  <w:hideMark/>
                </w:tcPr>
                <w:p w14:paraId="78F79825" w14:textId="77777777" w:rsidR="009456BE" w:rsidRDefault="009456BE">
                  <w:pPr>
                    <w:jc w:val="both"/>
                    <w:rPr>
                      <w:rFonts w:cstheme="minorHAnsi"/>
                      <w:sz w:val="18"/>
                      <w:szCs w:val="18"/>
                    </w:rPr>
                  </w:pPr>
                  <w:r>
                    <w:rPr>
                      <w:sz w:val="18"/>
                      <w:szCs w:val="18"/>
                    </w:rPr>
                    <w:t>Marine Science Scotland</w:t>
                  </w:r>
                </w:p>
              </w:tc>
            </w:tr>
            <w:tr w:rsidR="009456BE" w14:paraId="51476CB1" w14:textId="77777777">
              <w:trPr>
                <w:trHeight w:val="263"/>
              </w:trPr>
              <w:tc>
                <w:tcPr>
                  <w:tcW w:w="990" w:type="dxa"/>
                  <w:hideMark/>
                </w:tcPr>
                <w:p w14:paraId="5FDA5A69" w14:textId="77777777" w:rsidR="009456BE" w:rsidRDefault="009456BE">
                  <w:pPr>
                    <w:jc w:val="both"/>
                    <w:rPr>
                      <w:rFonts w:cstheme="minorHAnsi"/>
                      <w:sz w:val="18"/>
                      <w:szCs w:val="18"/>
                    </w:rPr>
                  </w:pPr>
                  <w:r>
                    <w:rPr>
                      <w:sz w:val="18"/>
                      <w:szCs w:val="18"/>
                    </w:rPr>
                    <w:t>UKHO</w:t>
                  </w:r>
                </w:p>
              </w:tc>
              <w:tc>
                <w:tcPr>
                  <w:tcW w:w="2835" w:type="dxa"/>
                  <w:hideMark/>
                </w:tcPr>
                <w:p w14:paraId="56CB534C" w14:textId="77777777" w:rsidR="009456BE" w:rsidRDefault="009456BE">
                  <w:pPr>
                    <w:jc w:val="both"/>
                    <w:rPr>
                      <w:rFonts w:cstheme="minorHAnsi"/>
                      <w:sz w:val="18"/>
                      <w:szCs w:val="18"/>
                    </w:rPr>
                  </w:pPr>
                  <w:r>
                    <w:rPr>
                      <w:sz w:val="18"/>
                      <w:szCs w:val="18"/>
                    </w:rPr>
                    <w:t>UK Hydrographic Office</w:t>
                  </w:r>
                </w:p>
              </w:tc>
            </w:tr>
            <w:tr w:rsidR="009456BE" w14:paraId="4C9F8026" w14:textId="77777777">
              <w:trPr>
                <w:trHeight w:val="263"/>
              </w:trPr>
              <w:tc>
                <w:tcPr>
                  <w:tcW w:w="990" w:type="dxa"/>
                  <w:hideMark/>
                </w:tcPr>
                <w:p w14:paraId="3C219339" w14:textId="77777777" w:rsidR="009456BE" w:rsidRDefault="009456BE">
                  <w:pPr>
                    <w:jc w:val="both"/>
                    <w:rPr>
                      <w:rFonts w:cstheme="minorHAnsi"/>
                      <w:sz w:val="18"/>
                      <w:szCs w:val="18"/>
                    </w:rPr>
                  </w:pPr>
                  <w:r>
                    <w:rPr>
                      <w:sz w:val="18"/>
                      <w:szCs w:val="18"/>
                    </w:rPr>
                    <w:t>RCAHMW</w:t>
                  </w:r>
                </w:p>
              </w:tc>
              <w:tc>
                <w:tcPr>
                  <w:tcW w:w="2835" w:type="dxa"/>
                  <w:hideMark/>
                </w:tcPr>
                <w:p w14:paraId="6F19D223" w14:textId="77777777" w:rsidR="009456BE" w:rsidRDefault="009456BE">
                  <w:pPr>
                    <w:jc w:val="both"/>
                    <w:rPr>
                      <w:rFonts w:cstheme="minorHAnsi"/>
                      <w:sz w:val="18"/>
                      <w:szCs w:val="18"/>
                    </w:rPr>
                  </w:pPr>
                  <w:r>
                    <w:rPr>
                      <w:sz w:val="18"/>
                      <w:szCs w:val="18"/>
                    </w:rPr>
                    <w:t>Royal Commission for the Ancient and Historical Monuments of Wales</w:t>
                  </w:r>
                </w:p>
              </w:tc>
            </w:tr>
            <w:tr w:rsidR="009456BE" w14:paraId="309FAC40" w14:textId="77777777">
              <w:trPr>
                <w:trHeight w:val="242"/>
              </w:trPr>
              <w:tc>
                <w:tcPr>
                  <w:tcW w:w="990" w:type="dxa"/>
                  <w:tcBorders>
                    <w:top w:val="double" w:sz="4" w:space="0" w:color="0075A2" w:themeColor="accent2" w:themeShade="BF"/>
                    <w:left w:val="nil"/>
                    <w:bottom w:val="double" w:sz="4" w:space="0" w:color="0075A2" w:themeColor="accent2" w:themeShade="BF"/>
                    <w:right w:val="nil"/>
                  </w:tcBorders>
                  <w:shd w:val="clear" w:color="auto" w:fill="C9F9FC" w:themeFill="accent3" w:themeFillTint="33"/>
                </w:tcPr>
                <w:p w14:paraId="1E042054" w14:textId="77777777" w:rsidR="009456BE" w:rsidRDefault="009456BE">
                  <w:pPr>
                    <w:jc w:val="both"/>
                    <w:rPr>
                      <w:rFonts w:cstheme="minorHAnsi"/>
                      <w:b/>
                      <w:sz w:val="18"/>
                      <w:szCs w:val="18"/>
                    </w:rPr>
                  </w:pPr>
                </w:p>
              </w:tc>
              <w:tc>
                <w:tcPr>
                  <w:tcW w:w="2835" w:type="dxa"/>
                  <w:tcBorders>
                    <w:top w:val="double" w:sz="4" w:space="0" w:color="0075A2" w:themeColor="accent2" w:themeShade="BF"/>
                    <w:left w:val="nil"/>
                    <w:bottom w:val="double" w:sz="4" w:space="0" w:color="0075A2" w:themeColor="accent2" w:themeShade="BF"/>
                    <w:right w:val="nil"/>
                  </w:tcBorders>
                  <w:shd w:val="clear" w:color="auto" w:fill="C9F9FC" w:themeFill="accent3" w:themeFillTint="33"/>
                  <w:vAlign w:val="center"/>
                </w:tcPr>
                <w:p w14:paraId="1F58E6EC" w14:textId="77777777" w:rsidR="009456BE" w:rsidRDefault="009456BE">
                  <w:pPr>
                    <w:jc w:val="both"/>
                    <w:rPr>
                      <w:rFonts w:cstheme="minorHAnsi"/>
                      <w:b/>
                      <w:sz w:val="18"/>
                      <w:szCs w:val="18"/>
                    </w:rPr>
                  </w:pPr>
                </w:p>
              </w:tc>
            </w:tr>
          </w:tbl>
          <w:p w14:paraId="789FD5C8" w14:textId="77777777" w:rsidR="009456BE" w:rsidRDefault="009456BE"/>
        </w:tc>
        <w:tc>
          <w:tcPr>
            <w:tcW w:w="7053" w:type="dxa"/>
            <w:hideMark/>
          </w:tcPr>
          <w:p w14:paraId="26D96540" w14:textId="4EBB43B3" w:rsidR="009456BE" w:rsidRDefault="00496688">
            <w:pPr>
              <w:jc w:val="both"/>
              <w:rPr>
                <w:b/>
                <w:sz w:val="18"/>
                <w:szCs w:val="18"/>
              </w:rPr>
            </w:pPr>
            <w:r>
              <w:rPr>
                <w:noProof/>
                <w:lang w:eastAsia="en-GB"/>
              </w:rPr>
              <w:drawing>
                <wp:inline distT="0" distB="0" distL="0" distR="0" wp14:anchorId="012105F8" wp14:editId="0CB2A119">
                  <wp:extent cx="4295775" cy="2771775"/>
                  <wp:effectExtent l="0" t="0" r="9525" b="9525"/>
                  <wp:docPr id="3" name="Chart 3">
                    <a:extLst xmlns:a="http://schemas.openxmlformats.org/drawingml/2006/main">
                      <a:ext uri="{FF2B5EF4-FFF2-40B4-BE49-F238E27FC236}">
                        <a16:creationId xmlns:a16="http://schemas.microsoft.com/office/drawing/2014/main" id="{00000000-0008-0000-0000-000006000000}"/>
                      </a:ext>
                      <a:ext uri="{147F2762-F138-4A5C-976F-8EAC2B608ADB}">
                        <a16:predDERef xmlns:a16="http://schemas.microsoft.com/office/drawing/2014/main" pre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9456BE" w14:paraId="07401F58" w14:textId="77777777" w:rsidTr="009456BE">
        <w:trPr>
          <w:trHeight w:val="512"/>
        </w:trPr>
        <w:tc>
          <w:tcPr>
            <w:tcW w:w="4248" w:type="dxa"/>
          </w:tcPr>
          <w:p w14:paraId="1EC945DD" w14:textId="77777777" w:rsidR="009456BE" w:rsidRDefault="009456BE">
            <w:pPr>
              <w:rPr>
                <w:noProof/>
                <w:lang w:eastAsia="en-GB"/>
              </w:rPr>
            </w:pPr>
          </w:p>
        </w:tc>
        <w:tc>
          <w:tcPr>
            <w:tcW w:w="7053" w:type="dxa"/>
            <w:hideMark/>
          </w:tcPr>
          <w:p w14:paraId="2A89E5C2" w14:textId="77777777" w:rsidR="009456BE" w:rsidRPr="00A42E11" w:rsidRDefault="009456BE">
            <w:pPr>
              <w:rPr>
                <w:i/>
                <w:noProof/>
                <w:sz w:val="20"/>
                <w:szCs w:val="20"/>
                <w:lang w:eastAsia="en-GB"/>
              </w:rPr>
            </w:pPr>
            <w:r w:rsidRPr="00A42E11">
              <w:rPr>
                <w:i/>
                <w:noProof/>
                <w:sz w:val="20"/>
                <w:szCs w:val="20"/>
                <w:lang w:eastAsia="en-GB"/>
              </w:rPr>
              <w:t>Figure 1: Percentage of each Data Archive Centre’s datasets directly accessible within ‘2 clicks’ of finding them on the MEDIN portal.</w:t>
            </w:r>
          </w:p>
        </w:tc>
      </w:tr>
    </w:tbl>
    <w:p w14:paraId="41FF1A9B" w14:textId="77777777" w:rsidR="009456BE" w:rsidRDefault="009456BE" w:rsidP="009456BE">
      <w:pPr>
        <w:pStyle w:val="Heading2"/>
      </w:pPr>
      <w:r>
        <w:t>We move to international accreditation</w:t>
      </w:r>
    </w:p>
    <w:p w14:paraId="72AC8984" w14:textId="77777777" w:rsidR="009456BE" w:rsidRDefault="009456BE" w:rsidP="009456BE">
      <w:pPr>
        <w:shd w:val="clear" w:color="auto" w:fill="FFFFFF"/>
        <w:spacing w:after="0" w:line="240" w:lineRule="auto"/>
        <w:textAlignment w:val="baseline"/>
        <w:rPr>
          <w:rFonts w:ascii="Calibri" w:eastAsia="Times New Roman" w:hAnsi="Calibri" w:cs="Times New Roman"/>
          <w:color w:val="000000"/>
          <w:bdr w:val="none" w:sz="0" w:space="0" w:color="auto" w:frame="1"/>
          <w:lang w:eastAsia="en-GB"/>
        </w:rPr>
      </w:pPr>
      <w:r>
        <w:rPr>
          <w:rFonts w:ascii="Calibri" w:eastAsia="Times New Roman" w:hAnsi="Calibri" w:cs="Times New Roman"/>
          <w:color w:val="000000"/>
          <w:bdr w:val="none" w:sz="0" w:space="0" w:color="auto" w:frame="1"/>
          <w:lang w:eastAsia="en-GB"/>
        </w:rPr>
        <w:t>MEDIN led the way in developing an accreditation scheme for marine data centres in 2008. Our accreditation process was adopted or incorporated into international accreditation schemes such as the Intergovernmental Oceanographic Commission’s International Oceanographic Data and Information Exchange (IODE). Last year we decided to transition to the Core Trust Seal (CTS), an internationally recognised standard, as the required accreditation for MEDIN DACs. Two of our DACs have already achieved their CTS accreditation (BGS and ADS), three have submitted their applications (HES, UKHO and DASSH) and BODC is preparing its application. CTS is a natural extension of MEDIN accreditation and allows our DACs to broaden their international reputations, further highlighting them as approved, trusted repositories.</w:t>
      </w:r>
    </w:p>
    <w:p w14:paraId="60248BA8" w14:textId="77777777" w:rsidR="009456BE" w:rsidRDefault="009456BE" w:rsidP="009456BE">
      <w:pPr>
        <w:shd w:val="clear" w:color="auto" w:fill="FFFFFF"/>
        <w:spacing w:after="0" w:line="240" w:lineRule="auto"/>
        <w:textAlignment w:val="baseline"/>
        <w:rPr>
          <w:rFonts w:ascii="Calibri" w:eastAsia="Times New Roman" w:hAnsi="Calibri" w:cs="Times New Roman"/>
          <w:color w:val="000000"/>
          <w:sz w:val="24"/>
          <w:szCs w:val="24"/>
          <w:bdr w:val="none" w:sz="0" w:space="0" w:color="auto" w:frame="1"/>
          <w:lang w:eastAsia="en-GB"/>
        </w:rPr>
      </w:pPr>
    </w:p>
    <w:p w14:paraId="750E8BDD" w14:textId="77777777" w:rsidR="009456BE" w:rsidRDefault="009456BE" w:rsidP="009456BE">
      <w:pPr>
        <w:pStyle w:val="Heading2"/>
      </w:pPr>
      <w:r>
        <w:t>We improve provenance of our data holdings</w:t>
      </w:r>
    </w:p>
    <w:p w14:paraId="4A188356" w14:textId="2EA89776" w:rsidR="009456BE" w:rsidRDefault="009456BE" w:rsidP="009456BE">
      <w:pPr>
        <w:rPr>
          <w:rFonts w:ascii="Calibri" w:eastAsia="Times New Roman" w:hAnsi="Calibri" w:cs="Times New Roman"/>
          <w:color w:val="000000"/>
          <w:lang w:eastAsia="en-GB"/>
        </w:rPr>
      </w:pPr>
      <w:r w:rsidRPr="00A42E11">
        <w:rPr>
          <w:rStyle w:val="HTMLDefinition"/>
          <w:rFonts w:cstheme="minorHAnsi"/>
          <w:b w:val="0"/>
          <w:i w:val="0"/>
          <w:color w:val="000000"/>
          <w:lang w:val="en"/>
        </w:rPr>
        <w:t>The provenance</w:t>
      </w:r>
      <w:r>
        <w:rPr>
          <w:rFonts w:cstheme="minorHAnsi"/>
          <w:color w:val="000000"/>
          <w:lang w:val="en"/>
        </w:rPr>
        <w:t xml:space="preserve"> of data is a record of the people, organisations and activities involved in producing, influencing, or delivering that data. In particular, provenance is crucial in deciding whether data and information are to be trusted, how they should be integrated with other diverse information sources, and how to give credit to the originators when reusing them. </w:t>
      </w:r>
      <w:r>
        <w:t>Recognising that the quality of provenance recording is variable across our Data Archive Centres, we have committed to develop a DAC-wide approach to tracking provenance. The current focus is on backward provenance tracking, which means applying good practice in recording and sharing provenance information about a dataset up to the point it is deposited in a DAC. Over the last year, further information was gathered from the DACs relating to use of MEDIN-recommended vocabularies when populating proven</w:t>
      </w:r>
      <w:r>
        <w:rPr>
          <w:rFonts w:ascii="Calibri" w:eastAsia="Times New Roman" w:hAnsi="Calibri" w:cs="Times New Roman"/>
          <w:color w:val="000000"/>
          <w:bdr w:val="none" w:sz="0" w:space="0" w:color="auto" w:frame="1"/>
          <w:lang w:eastAsia="en-GB"/>
        </w:rPr>
        <w:t xml:space="preserve">ance related fields in the MEDIN metadata standard. This is important as it determines how interoperable the provenance information is. </w:t>
      </w:r>
      <w:r w:rsidR="00750B8A">
        <w:rPr>
          <w:rFonts w:ascii="Calibri" w:eastAsia="Times New Roman" w:hAnsi="Calibri" w:cs="Times New Roman"/>
          <w:color w:val="000000"/>
          <w:bdr w:val="none" w:sz="0" w:space="0" w:color="auto" w:frame="1"/>
          <w:lang w:eastAsia="en-GB"/>
        </w:rPr>
        <w:t xml:space="preserve">The DACs are working with the MEDIN Standards Working Group to increase the use of controlled vocabularies instead of free text in the provenance fields. </w:t>
      </w:r>
      <w:r>
        <w:rPr>
          <w:rFonts w:ascii="Calibri" w:eastAsia="Times New Roman" w:hAnsi="Calibri" w:cs="Times New Roman"/>
          <w:color w:val="000000"/>
          <w:bdr w:val="none" w:sz="0" w:space="0" w:color="auto" w:frame="1"/>
          <w:lang w:eastAsia="en-GB"/>
        </w:rPr>
        <w:t>This will support the DACs to deliver improvements in capturing provenance information. In turn, this will help our users by providing interoperable, consistent information about the provenance of each dataset.</w:t>
      </w:r>
    </w:p>
    <w:p w14:paraId="2973635E" w14:textId="77777777" w:rsidR="009456BE" w:rsidRDefault="009456BE" w:rsidP="009456BE">
      <w:pPr>
        <w:pStyle w:val="Heading2"/>
      </w:pPr>
      <w:r>
        <w:t>Challenges and opportunities</w:t>
      </w:r>
    </w:p>
    <w:p w14:paraId="4AB7E0EB" w14:textId="1DE10A9B" w:rsidR="009456BE" w:rsidRDefault="009456BE" w:rsidP="009456BE">
      <w:pPr>
        <w:shd w:val="clear" w:color="auto" w:fill="FFFFFF"/>
        <w:spacing w:after="0" w:line="240" w:lineRule="auto"/>
        <w:textAlignment w:val="baseline"/>
      </w:pPr>
      <w:r>
        <w:rPr>
          <w:bdr w:val="none" w:sz="0" w:space="0" w:color="auto" w:frame="1"/>
          <w:lang w:eastAsia="en-GB"/>
        </w:rPr>
        <w:t>This year, uncertainty in funding levels meant we experienced c</w:t>
      </w:r>
      <w:r>
        <w:rPr>
          <w:rFonts w:ascii="Calibri" w:eastAsia="Times New Roman" w:hAnsi="Calibri" w:cs="Times New Roman"/>
          <w:color w:val="000000"/>
          <w:bdr w:val="none" w:sz="0" w:space="0" w:color="auto" w:frame="1"/>
          <w:lang w:eastAsia="en-GB"/>
        </w:rPr>
        <w:t xml:space="preserve">hallenges in delivering all of our planned activities. Some lower priority activities were subsequently postponed to later years. The impact of </w:t>
      </w:r>
      <w:r w:rsidR="005A1B56">
        <w:rPr>
          <w:rFonts w:ascii="Calibri" w:eastAsia="Times New Roman" w:hAnsi="Calibri" w:cs="Times New Roman"/>
          <w:color w:val="000000"/>
          <w:bdr w:val="none" w:sz="0" w:space="0" w:color="auto" w:frame="1"/>
          <w:lang w:eastAsia="en-GB"/>
        </w:rPr>
        <w:t>COVID</w:t>
      </w:r>
      <w:r>
        <w:rPr>
          <w:rFonts w:ascii="Calibri" w:eastAsia="Times New Roman" w:hAnsi="Calibri" w:cs="Times New Roman"/>
          <w:color w:val="000000"/>
          <w:bdr w:val="none" w:sz="0" w:space="0" w:color="auto" w:frame="1"/>
          <w:lang w:eastAsia="en-GB"/>
        </w:rPr>
        <w:t>-19 on the DAC organisations has also been felt during the year, with organisations having to adapt to prolonged periods of home-working, staff shortages due to illness and, for some, periods of being furloughed.</w:t>
      </w:r>
      <w:r>
        <w:br w:type="page"/>
      </w:r>
    </w:p>
    <w:p w14:paraId="583EE222" w14:textId="2C51C5DA" w:rsidR="009F34DA" w:rsidRDefault="009F34DA" w:rsidP="009F34DA">
      <w:r>
        <w:rPr>
          <w:rFonts w:eastAsia="Times New Roman"/>
          <w:noProof/>
          <w:lang w:eastAsia="en-GB"/>
        </w:rPr>
        <w:lastRenderedPageBreak/>
        <w:drawing>
          <wp:inline distT="0" distB="0" distL="0" distR="0" wp14:anchorId="39832656" wp14:editId="70DDE3E8">
            <wp:extent cx="6629400" cy="1905000"/>
            <wp:effectExtent l="38100" t="0" r="57150" b="57150"/>
            <wp:docPr id="67" name="Diagram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57557082" w14:textId="349BE535" w:rsidR="009456BE" w:rsidRDefault="009456BE" w:rsidP="009456BE">
      <w:pPr>
        <w:spacing w:after="0" w:line="240" w:lineRule="auto"/>
      </w:pPr>
      <w:r>
        <w:t xml:space="preserve">UK marine environmental data are collected or managed by over 600 different organisations. Our metadata standard and data guidelines are the backbone of our vision for all UK marine data to be Findable, Accessible, Interoperable and Reusable (FAIR). By providing consistent, standardised ways to describe datasets, we make sure that the wealth of UK marine data can be easily found, accessed and reused. </w:t>
      </w:r>
    </w:p>
    <w:p w14:paraId="5BB5029C" w14:textId="77777777" w:rsidR="0064566F" w:rsidRDefault="0064566F" w:rsidP="009456BE">
      <w:pPr>
        <w:spacing w:after="0" w:line="240" w:lineRule="auto"/>
      </w:pPr>
    </w:p>
    <w:p w14:paraId="03CA037F" w14:textId="77777777" w:rsidR="009456BE" w:rsidRDefault="009456BE" w:rsidP="009456BE">
      <w:pPr>
        <w:pStyle w:val="Heading2"/>
        <w:spacing w:line="240" w:lineRule="auto"/>
      </w:pPr>
      <w:r>
        <w:t>We ensure marine data can be found</w:t>
      </w:r>
    </w:p>
    <w:p w14:paraId="055CD82D" w14:textId="2BCCFE27" w:rsidR="0064566F" w:rsidRDefault="009456BE" w:rsidP="0064566F">
      <w:r>
        <w:rPr>
          <w:rFonts w:cstheme="minorHAnsi"/>
        </w:rPr>
        <w:t xml:space="preserve">We developed the MEDIN Discovery Metadata Standard to </w:t>
      </w:r>
      <w:r>
        <w:rPr>
          <w:rFonts w:cstheme="minorHAnsi"/>
          <w:color w:val="202020"/>
          <w:shd w:val="clear" w:color="auto" w:fill="FFFFFF"/>
        </w:rPr>
        <w:t>ensure all relevant information about a marine dataset is readily available, to allow a potential user to make an informed decision about whether it is pertinent. MEDIN k</w:t>
      </w:r>
      <w:r>
        <w:t>eeps the Discovery Metadata Standard and tools up to date to reflect updates to national (GEMINI) and international (</w:t>
      </w:r>
      <w:r w:rsidRPr="004B4330">
        <w:t xml:space="preserve">INSPIRE) standards and working practices. </w:t>
      </w:r>
      <w:r w:rsidR="0064566F">
        <w:t xml:space="preserve">This year we updated our standard from v3.0 to v3.1, with the changes being a consequence of work within MEDIN itself, and also to ensure continued adherence to both the UK GEMINI and INSPIRE metadata standards. </w:t>
      </w:r>
      <w:r w:rsidR="0064566F">
        <w:rPr>
          <w:rFonts w:cstheme="minorHAnsi"/>
        </w:rPr>
        <w:t xml:space="preserve">This year we commissioned updates to both our </w:t>
      </w:r>
      <w:r w:rsidRPr="004B4330">
        <w:rPr>
          <w:rFonts w:cstheme="minorHAnsi"/>
        </w:rPr>
        <w:t>tools for creating MEDIN-compliant discovery metadata</w:t>
      </w:r>
      <w:r w:rsidR="0064566F">
        <w:rPr>
          <w:rFonts w:cstheme="minorHAnsi"/>
        </w:rPr>
        <w:t>,</w:t>
      </w:r>
      <w:r w:rsidRPr="004B4330">
        <w:rPr>
          <w:rFonts w:cstheme="minorHAnsi"/>
        </w:rPr>
        <w:t xml:space="preserve"> Metadata Maestro and the MEDIN metadata editor</w:t>
      </w:r>
      <w:r w:rsidR="0064566F">
        <w:rPr>
          <w:rFonts w:cstheme="minorHAnsi"/>
        </w:rPr>
        <w:t xml:space="preserve">, </w:t>
      </w:r>
      <w:r w:rsidR="0064566F">
        <w:t xml:space="preserve">to generate v3.1 metadata. </w:t>
      </w:r>
    </w:p>
    <w:p w14:paraId="77F4D18F" w14:textId="276C1AD4" w:rsidR="009456BE" w:rsidRDefault="009456BE" w:rsidP="009456BE">
      <w:pPr>
        <w:spacing w:line="240" w:lineRule="auto"/>
        <w:rPr>
          <w:rFonts w:ascii="Calibri" w:hAnsi="Calibri" w:cstheme="minorHAnsi"/>
        </w:rPr>
      </w:pPr>
      <w:r w:rsidRPr="004B4330">
        <w:rPr>
          <w:rFonts w:cstheme="minorHAnsi"/>
        </w:rPr>
        <w:t xml:space="preserve">Metadata Maestro was downloaded 32 times in 2020-21, </w:t>
      </w:r>
      <w:r w:rsidR="006B2F5F">
        <w:rPr>
          <w:rFonts w:cstheme="minorHAnsi"/>
        </w:rPr>
        <w:t>roughly half that of</w:t>
      </w:r>
      <w:r w:rsidRPr="004B4330">
        <w:rPr>
          <w:rFonts w:cstheme="minorHAnsi"/>
        </w:rPr>
        <w:t xml:space="preserve"> 2019-20. This is not surprising as the tool was not </w:t>
      </w:r>
      <w:r w:rsidRPr="004B4330">
        <w:rPr>
          <w:rFonts w:ascii="Calibri" w:hAnsi="Calibri" w:cstheme="minorHAnsi"/>
        </w:rPr>
        <w:t xml:space="preserve">upgraded this year, so existing users did not need to download a new version. Additionally, with travel restrictions in place, </w:t>
      </w:r>
      <w:r w:rsidR="002D090F" w:rsidRPr="004B4330">
        <w:rPr>
          <w:rFonts w:ascii="Calibri" w:hAnsi="Calibri" w:cstheme="minorHAnsi"/>
        </w:rPr>
        <w:t>many data collection activities were cancelled or postponed</w:t>
      </w:r>
      <w:r w:rsidR="00790443">
        <w:rPr>
          <w:rFonts w:ascii="Calibri" w:hAnsi="Calibri" w:cstheme="minorHAnsi"/>
        </w:rPr>
        <w:t xml:space="preserve">. Moreover, </w:t>
      </w:r>
      <w:r w:rsidRPr="004B4330">
        <w:rPr>
          <w:rFonts w:ascii="Calibri" w:hAnsi="Calibri" w:cstheme="minorHAnsi"/>
        </w:rPr>
        <w:t xml:space="preserve">we were unable to </w:t>
      </w:r>
      <w:r w:rsidR="002D090F">
        <w:rPr>
          <w:rFonts w:ascii="Calibri" w:hAnsi="Calibri" w:cstheme="minorHAnsi"/>
        </w:rPr>
        <w:t>deliver</w:t>
      </w:r>
      <w:r w:rsidRPr="004B4330">
        <w:rPr>
          <w:rFonts w:ascii="Calibri" w:hAnsi="Calibri" w:cstheme="minorHAnsi"/>
        </w:rPr>
        <w:t xml:space="preserve"> workshops to introduce new users to Maestro. It is a positive sign that new users are continuing to download the tool. In </w:t>
      </w:r>
      <w:r w:rsidRPr="004B4330">
        <w:rPr>
          <w:rFonts w:cstheme="minorHAnsi"/>
        </w:rPr>
        <w:t>2020-21</w:t>
      </w:r>
      <w:r w:rsidRPr="004B4330">
        <w:rPr>
          <w:rFonts w:ascii="Calibri" w:hAnsi="Calibri" w:cstheme="minorHAnsi"/>
        </w:rPr>
        <w:t xml:space="preserve">, 69% of downloads were from the private sector, an increase of 14% compared to the previous year. Government (including devolved administrations and arms-length bodies), </w:t>
      </w:r>
      <w:r w:rsidRPr="004B4330">
        <w:rPr>
          <w:rFonts w:ascii="Calibri" w:hAnsi="Calibri"/>
          <w:shd w:val="clear" w:color="auto" w:fill="FFFFFF"/>
        </w:rPr>
        <w:t>Non-Governmental Organisations</w:t>
      </w:r>
      <w:r w:rsidRPr="004B4330">
        <w:rPr>
          <w:rFonts w:ascii="Calibri" w:hAnsi="Calibri" w:cstheme="minorHAnsi"/>
        </w:rPr>
        <w:t xml:space="preserve"> (NGOs) and Academic users accounted for 13%, 9% and 6% of downloads respectively. Private individuals made up the remaining 3% of downloads. Non-UK users accounted for 31% of downloads for </w:t>
      </w:r>
      <w:r w:rsidRPr="004B4330">
        <w:rPr>
          <w:rFonts w:cstheme="minorHAnsi"/>
        </w:rPr>
        <w:t>2020-21, an increase of 18% compared to 2019-20</w:t>
      </w:r>
      <w:r w:rsidRPr="004B4330">
        <w:rPr>
          <w:rFonts w:ascii="Calibri" w:hAnsi="Calibri" w:cstheme="minorHAnsi"/>
        </w:rPr>
        <w:t>.</w:t>
      </w:r>
      <w:r w:rsidRPr="004B4330">
        <w:rPr>
          <w:rFonts w:ascii="Calibri" w:hAnsi="Calibri"/>
        </w:rPr>
        <w:t xml:space="preserve"> </w:t>
      </w:r>
      <w:r w:rsidRPr="004B4330">
        <w:rPr>
          <w:rFonts w:ascii="Calibri" w:hAnsi="Calibri" w:cstheme="minorHAnsi"/>
        </w:rPr>
        <w:t xml:space="preserve">The non-UK downloads were from commercial organisations and NGOs. The online metadata </w:t>
      </w:r>
      <w:r w:rsidR="00496378">
        <w:rPr>
          <w:rFonts w:ascii="Calibri" w:hAnsi="Calibri" w:cstheme="minorHAnsi"/>
        </w:rPr>
        <w:t>editor</w:t>
      </w:r>
      <w:r w:rsidRPr="004B4330">
        <w:rPr>
          <w:rFonts w:ascii="Calibri" w:hAnsi="Calibri" w:cstheme="minorHAnsi"/>
        </w:rPr>
        <w:t xml:space="preserve"> hosted by DASSH had </w:t>
      </w:r>
      <w:r w:rsidR="00F02E38" w:rsidRPr="004B4330">
        <w:rPr>
          <w:rFonts w:ascii="Calibri" w:hAnsi="Calibri" w:cstheme="minorHAnsi"/>
        </w:rPr>
        <w:t>7</w:t>
      </w:r>
      <w:r w:rsidR="00F02E38">
        <w:rPr>
          <w:rFonts w:ascii="Calibri" w:hAnsi="Calibri" w:cstheme="minorHAnsi"/>
        </w:rPr>
        <w:t>2</w:t>
      </w:r>
      <w:r w:rsidR="00F02E38" w:rsidRPr="004B4330">
        <w:rPr>
          <w:rFonts w:ascii="Calibri" w:hAnsi="Calibri" w:cstheme="minorHAnsi"/>
        </w:rPr>
        <w:t xml:space="preserve"> </w:t>
      </w:r>
      <w:r w:rsidRPr="004B4330">
        <w:rPr>
          <w:rFonts w:ascii="Calibri" w:hAnsi="Calibri" w:cstheme="minorHAnsi"/>
        </w:rPr>
        <w:t xml:space="preserve">new registrants in </w:t>
      </w:r>
      <w:r w:rsidRPr="004B4330">
        <w:rPr>
          <w:rFonts w:cstheme="minorHAnsi"/>
        </w:rPr>
        <w:t>2020-21</w:t>
      </w:r>
      <w:r w:rsidRPr="004B4330">
        <w:rPr>
          <w:rFonts w:ascii="Calibri" w:hAnsi="Calibri" w:cstheme="minorHAnsi"/>
        </w:rPr>
        <w:t xml:space="preserve">, bringing the total number of </w:t>
      </w:r>
      <w:r w:rsidRPr="006D6DD0">
        <w:rPr>
          <w:rFonts w:ascii="Calibri" w:hAnsi="Calibri" w:cstheme="minorHAnsi"/>
        </w:rPr>
        <w:t xml:space="preserve">users to 1019; </w:t>
      </w:r>
      <w:r w:rsidR="00F02E38" w:rsidRPr="0038277D">
        <w:rPr>
          <w:rFonts w:ascii="Calibri" w:hAnsi="Calibri" w:cstheme="minorHAnsi"/>
        </w:rPr>
        <w:t>73</w:t>
      </w:r>
      <w:r w:rsidR="00E51BF7" w:rsidRPr="006D6DD0">
        <w:rPr>
          <w:rFonts w:ascii="Calibri" w:hAnsi="Calibri" w:cstheme="minorHAnsi"/>
        </w:rPr>
        <w:t xml:space="preserve"> </w:t>
      </w:r>
      <w:r w:rsidRPr="006D6DD0">
        <w:rPr>
          <w:rFonts w:ascii="Calibri" w:hAnsi="Calibri" w:cstheme="minorHAnsi"/>
        </w:rPr>
        <w:t>use</w:t>
      </w:r>
      <w:r w:rsidRPr="004B4330">
        <w:rPr>
          <w:rFonts w:ascii="Calibri" w:hAnsi="Calibri" w:cstheme="minorHAnsi"/>
        </w:rPr>
        <w:t>rs</w:t>
      </w:r>
      <w:r w:rsidR="00F02E38">
        <w:rPr>
          <w:rFonts w:ascii="Calibri" w:hAnsi="Calibri" w:cstheme="minorHAnsi"/>
        </w:rPr>
        <w:t xml:space="preserve"> (new and existing)</w:t>
      </w:r>
      <w:r w:rsidRPr="004B4330">
        <w:rPr>
          <w:rFonts w:ascii="Calibri" w:hAnsi="Calibri" w:cstheme="minorHAnsi"/>
        </w:rPr>
        <w:t xml:space="preserve"> actively updated metadata records using the tool in </w:t>
      </w:r>
      <w:r w:rsidRPr="004B4330">
        <w:rPr>
          <w:rFonts w:cstheme="minorHAnsi"/>
        </w:rPr>
        <w:t>2020-21</w:t>
      </w:r>
      <w:r w:rsidRPr="004B4330">
        <w:rPr>
          <w:rFonts w:ascii="Calibri" w:hAnsi="Calibri" w:cstheme="minorHAnsi"/>
        </w:rPr>
        <w:t xml:space="preserve">. 583 new </w:t>
      </w:r>
      <w:r w:rsidR="00496378">
        <w:rPr>
          <w:rFonts w:ascii="Calibri" w:hAnsi="Calibri" w:cstheme="minorHAnsi"/>
        </w:rPr>
        <w:t xml:space="preserve">metadata </w:t>
      </w:r>
      <w:r w:rsidRPr="004B4330">
        <w:rPr>
          <w:rFonts w:ascii="Calibri" w:hAnsi="Calibri" w:cstheme="minorHAnsi"/>
        </w:rPr>
        <w:t xml:space="preserve">records </w:t>
      </w:r>
      <w:r w:rsidR="00496378">
        <w:rPr>
          <w:rFonts w:ascii="Calibri" w:hAnsi="Calibri" w:cstheme="minorHAnsi"/>
        </w:rPr>
        <w:t xml:space="preserve">were </w:t>
      </w:r>
      <w:r w:rsidRPr="004B4330">
        <w:rPr>
          <w:rFonts w:ascii="Calibri" w:hAnsi="Calibri" w:cstheme="minorHAnsi"/>
        </w:rPr>
        <w:t xml:space="preserve">created </w:t>
      </w:r>
      <w:r w:rsidR="00496378">
        <w:rPr>
          <w:rFonts w:ascii="Calibri" w:hAnsi="Calibri" w:cstheme="minorHAnsi"/>
        </w:rPr>
        <w:t>using</w:t>
      </w:r>
      <w:r w:rsidR="00496378" w:rsidRPr="004B4330">
        <w:rPr>
          <w:rFonts w:ascii="Calibri" w:hAnsi="Calibri" w:cstheme="minorHAnsi"/>
        </w:rPr>
        <w:t xml:space="preserve"> </w:t>
      </w:r>
      <w:r w:rsidRPr="004B4330">
        <w:rPr>
          <w:rFonts w:ascii="Calibri" w:hAnsi="Calibri" w:cstheme="minorHAnsi"/>
        </w:rPr>
        <w:t xml:space="preserve">the online metadata </w:t>
      </w:r>
      <w:r w:rsidR="00496378">
        <w:rPr>
          <w:rFonts w:ascii="Calibri" w:hAnsi="Calibri" w:cstheme="minorHAnsi"/>
        </w:rPr>
        <w:t>editor</w:t>
      </w:r>
      <w:r w:rsidR="00496378" w:rsidRPr="004B4330">
        <w:rPr>
          <w:rFonts w:ascii="Calibri" w:hAnsi="Calibri" w:cstheme="minorHAnsi"/>
        </w:rPr>
        <w:t xml:space="preserve"> </w:t>
      </w:r>
      <w:r w:rsidRPr="004B4330">
        <w:rPr>
          <w:rFonts w:ascii="Calibri" w:hAnsi="Calibri" w:cstheme="minorHAnsi"/>
        </w:rPr>
        <w:t xml:space="preserve">in </w:t>
      </w:r>
      <w:r w:rsidRPr="004B4330">
        <w:rPr>
          <w:rFonts w:cstheme="minorHAnsi"/>
        </w:rPr>
        <w:t>2020-21</w:t>
      </w:r>
      <w:r w:rsidRPr="004B4330">
        <w:rPr>
          <w:rFonts w:ascii="Calibri" w:hAnsi="Calibri" w:cstheme="minorHAnsi"/>
        </w:rPr>
        <w:t xml:space="preserve">, down from 815 in </w:t>
      </w:r>
      <w:r w:rsidRPr="004B4330">
        <w:rPr>
          <w:rFonts w:cstheme="minorHAnsi"/>
        </w:rPr>
        <w:t xml:space="preserve">2019-20 but comparable to </w:t>
      </w:r>
      <w:r w:rsidR="00E51BF7">
        <w:rPr>
          <w:rFonts w:cstheme="minorHAnsi"/>
        </w:rPr>
        <w:t xml:space="preserve">other </w:t>
      </w:r>
      <w:r w:rsidRPr="004B4330">
        <w:rPr>
          <w:rFonts w:cstheme="minorHAnsi"/>
        </w:rPr>
        <w:t>years</w:t>
      </w:r>
      <w:r w:rsidRPr="004B4330">
        <w:rPr>
          <w:rFonts w:ascii="Calibri" w:hAnsi="Calibri" w:cstheme="minorHAnsi"/>
        </w:rPr>
        <w:t>.</w:t>
      </w:r>
    </w:p>
    <w:p w14:paraId="06186485" w14:textId="77777777" w:rsidR="009456BE" w:rsidRDefault="009456BE" w:rsidP="009456BE">
      <w:pPr>
        <w:pStyle w:val="Heading2"/>
        <w:spacing w:line="240" w:lineRule="auto"/>
        <w:rPr>
          <w:snapToGrid w:val="0"/>
        </w:rPr>
      </w:pPr>
      <w:r>
        <w:rPr>
          <w:snapToGrid w:val="0"/>
        </w:rPr>
        <w:t xml:space="preserve">We ensure marine data can be reused </w:t>
      </w:r>
    </w:p>
    <w:p w14:paraId="70D508AC" w14:textId="0C1B7118" w:rsidR="009456BE" w:rsidRPr="006E3E85" w:rsidRDefault="009456BE" w:rsidP="009456BE">
      <w:pPr>
        <w:pStyle w:val="NumPara"/>
        <w:numPr>
          <w:ilvl w:val="0"/>
          <w:numId w:val="0"/>
        </w:numPr>
        <w:tabs>
          <w:tab w:val="clear" w:pos="567"/>
          <w:tab w:val="left" w:pos="720"/>
        </w:tabs>
        <w:spacing w:before="0" w:after="0"/>
        <w:jc w:val="left"/>
        <w:rPr>
          <w:rFonts w:asciiTheme="minorHAnsi" w:hAnsiTheme="minorHAnsi" w:cstheme="minorHAnsi"/>
          <w:snapToGrid w:val="0"/>
          <w:szCs w:val="22"/>
        </w:rPr>
      </w:pPr>
      <w:r>
        <w:rPr>
          <w:rFonts w:asciiTheme="minorHAnsi" w:hAnsiTheme="minorHAnsi" w:cstheme="minorHAnsi"/>
          <w:snapToGrid w:val="0"/>
          <w:szCs w:val="22"/>
        </w:rPr>
        <w:t xml:space="preserve">MEDIN offers a suite of 30 data guidelines to help the marine community collect all relevant information to make data reusable. </w:t>
      </w:r>
      <w:r w:rsidRPr="008A13B0">
        <w:rPr>
          <w:rFonts w:asciiTheme="minorHAnsi" w:hAnsiTheme="minorHAnsi" w:cstheme="minorHAnsi"/>
          <w:snapToGrid w:val="0"/>
          <w:szCs w:val="22"/>
        </w:rPr>
        <w:t xml:space="preserve">The MEDIN data guideline for bathymetry was the most </w:t>
      </w:r>
      <w:r w:rsidRPr="006E3E85">
        <w:rPr>
          <w:rFonts w:asciiTheme="minorHAnsi" w:hAnsiTheme="minorHAnsi" w:cstheme="minorHAnsi"/>
          <w:snapToGrid w:val="0"/>
          <w:szCs w:val="22"/>
        </w:rPr>
        <w:t>downloaded guideline this year (</w:t>
      </w:r>
      <w:r w:rsidRPr="00E70943">
        <w:rPr>
          <w:rFonts w:asciiTheme="minorHAnsi" w:hAnsiTheme="minorHAnsi" w:cstheme="minorHAnsi"/>
          <w:snapToGrid w:val="0"/>
          <w:szCs w:val="22"/>
        </w:rPr>
        <w:t xml:space="preserve">Figure </w:t>
      </w:r>
      <w:r w:rsidR="006E3E85" w:rsidRPr="00E70943">
        <w:rPr>
          <w:rFonts w:asciiTheme="minorHAnsi" w:hAnsiTheme="minorHAnsi" w:cstheme="minorHAnsi"/>
          <w:snapToGrid w:val="0"/>
          <w:szCs w:val="22"/>
        </w:rPr>
        <w:t>2</w:t>
      </w:r>
      <w:r w:rsidRPr="006E3E85">
        <w:rPr>
          <w:rFonts w:asciiTheme="minorHAnsi" w:hAnsiTheme="minorHAnsi" w:cstheme="minorHAnsi"/>
          <w:snapToGrid w:val="0"/>
          <w:szCs w:val="22"/>
        </w:rPr>
        <w:t xml:space="preserve">). After a surge in downloads of the Grab and Core guidelines last year following it’s update it has returned to a more </w:t>
      </w:r>
      <w:r w:rsidR="00E51BF7" w:rsidRPr="006E3E85">
        <w:rPr>
          <w:rFonts w:asciiTheme="minorHAnsi" w:hAnsiTheme="minorHAnsi" w:cstheme="minorHAnsi"/>
          <w:snapToGrid w:val="0"/>
          <w:szCs w:val="22"/>
        </w:rPr>
        <w:t xml:space="preserve">typical annual </w:t>
      </w:r>
      <w:r w:rsidRPr="006E3E85">
        <w:rPr>
          <w:rFonts w:asciiTheme="minorHAnsi" w:hAnsiTheme="minorHAnsi" w:cstheme="minorHAnsi"/>
          <w:snapToGrid w:val="0"/>
          <w:szCs w:val="22"/>
        </w:rPr>
        <w:t>download rate. Many guidelines have seen a decrease in downloads this year compared to last year, which may be due to the reduced ability to undertake surveys and because no guidelines were updated this year.</w:t>
      </w:r>
    </w:p>
    <w:p w14:paraId="37BA9DD4" w14:textId="13CE6736" w:rsidR="009456BE" w:rsidRPr="006E3E85" w:rsidRDefault="009456BE" w:rsidP="009456BE">
      <w:pPr>
        <w:pStyle w:val="NumPara"/>
        <w:numPr>
          <w:ilvl w:val="0"/>
          <w:numId w:val="0"/>
        </w:numPr>
        <w:tabs>
          <w:tab w:val="clear" w:pos="567"/>
          <w:tab w:val="left" w:pos="720"/>
        </w:tabs>
        <w:jc w:val="left"/>
        <w:rPr>
          <w:rFonts w:asciiTheme="minorHAnsi" w:hAnsiTheme="minorHAnsi" w:cstheme="minorHAnsi"/>
        </w:rPr>
      </w:pPr>
      <w:r w:rsidRPr="006E3E85">
        <w:rPr>
          <w:rFonts w:asciiTheme="minorHAnsi" w:hAnsiTheme="minorHAnsi" w:cstheme="minorHAnsi"/>
        </w:rPr>
        <w:t>The MEDIN Discovery Metadata Standard and suite of data guidelines were downloaded throughout 2020-21 with peaks in uptake in April</w:t>
      </w:r>
      <w:r w:rsidRPr="002D17CD">
        <w:rPr>
          <w:rFonts w:asciiTheme="minorHAnsi" w:hAnsiTheme="minorHAnsi" w:cstheme="minorHAnsi"/>
        </w:rPr>
        <w:t>, mid-summer, and October (</w:t>
      </w:r>
      <w:r w:rsidRPr="00E70943">
        <w:rPr>
          <w:rFonts w:asciiTheme="minorHAnsi" w:hAnsiTheme="minorHAnsi" w:cstheme="minorHAnsi"/>
        </w:rPr>
        <w:t xml:space="preserve">Figure </w:t>
      </w:r>
      <w:r w:rsidR="006E3E85" w:rsidRPr="00E70943">
        <w:rPr>
          <w:rFonts w:asciiTheme="minorHAnsi" w:hAnsiTheme="minorHAnsi" w:cstheme="minorHAnsi"/>
        </w:rPr>
        <w:t>3</w:t>
      </w:r>
      <w:r w:rsidRPr="006E3E85">
        <w:rPr>
          <w:rFonts w:asciiTheme="minorHAnsi" w:hAnsiTheme="minorHAnsi" w:cstheme="minorHAnsi"/>
        </w:rPr>
        <w:t>). The MEDIN discovery metadata standard was downloaded 521 times in total, and the guidelines 799 times.</w:t>
      </w:r>
    </w:p>
    <w:p w14:paraId="0D45A4DC" w14:textId="2D743249" w:rsidR="009456BE" w:rsidRDefault="009456BE" w:rsidP="009456BE">
      <w:r w:rsidRPr="00877E05">
        <w:t xml:space="preserve">This year we have built collaborative relationships with the Joint Cetacean Data Programme (JCDP) and the Joint Nature Conservation Committee’s (JNCC) Big Picture. This has allowed MEDIN to have input into the creation of new guidelines for boat based cetacean surveys and imagery data at an early stage which will expedite their acceptance </w:t>
      </w:r>
      <w:r w:rsidRPr="00877E05">
        <w:lastRenderedPageBreak/>
        <w:t xml:space="preserve">as MEDIN recommended guidelines. This has highlighted the need for MEDIN to formalise a process for adopting guidelines drafted by external bodies. As the community requires guidelines for increasing </w:t>
      </w:r>
      <w:r>
        <w:t xml:space="preserve">numbers of </w:t>
      </w:r>
      <w:r w:rsidRPr="00877E05">
        <w:t xml:space="preserve">different data types, MEDIN will need to advise on and adopt guidelines drafted by the wider MEDIN community to better serve the marine community. </w:t>
      </w: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6"/>
        <w:gridCol w:w="5157"/>
      </w:tblGrid>
      <w:tr w:rsidR="00E51BF7" w14:paraId="26929AF3" w14:textId="77777777" w:rsidTr="00C375CB">
        <w:trPr>
          <w:trHeight w:val="6972"/>
        </w:trPr>
        <w:tc>
          <w:tcPr>
            <w:tcW w:w="5387" w:type="dxa"/>
          </w:tcPr>
          <w:p w14:paraId="39F5F8BA" w14:textId="20FE7E12" w:rsidR="00E51BF7" w:rsidRDefault="00E51BF7" w:rsidP="009456BE">
            <w:r>
              <w:rPr>
                <w:noProof/>
              </w:rPr>
              <w:drawing>
                <wp:inline distT="0" distB="0" distL="0" distR="0" wp14:anchorId="5E374603" wp14:editId="64A6A552">
                  <wp:extent cx="3429000" cy="4695825"/>
                  <wp:effectExtent l="0" t="0" r="0" b="0"/>
                  <wp:docPr id="29" name="Chart 29">
                    <a:extLst xmlns:a="http://schemas.openxmlformats.org/drawingml/2006/main">
                      <a:ext uri="{FF2B5EF4-FFF2-40B4-BE49-F238E27FC236}">
                        <a16:creationId xmlns:a16="http://schemas.microsoft.com/office/drawing/2014/main" id="{239E7E0A-CEB9-44B4-A2C4-7446E482C2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5387" w:type="dxa"/>
          </w:tcPr>
          <w:p w14:paraId="2C53D156" w14:textId="41CDB26F" w:rsidR="00E51BF7" w:rsidRDefault="008C02E7" w:rsidP="009456BE">
            <w:r>
              <w:rPr>
                <w:noProof/>
              </w:rPr>
              <w:drawing>
                <wp:anchor distT="0" distB="0" distL="114300" distR="114300" simplePos="0" relativeHeight="251665408" behindDoc="1" locked="0" layoutInCell="1" allowOverlap="1" wp14:anchorId="09923FB2" wp14:editId="3D0C3713">
                  <wp:simplePos x="0" y="0"/>
                  <wp:positionH relativeFrom="page">
                    <wp:posOffset>158115</wp:posOffset>
                  </wp:positionH>
                  <wp:positionV relativeFrom="paragraph">
                    <wp:posOffset>10160</wp:posOffset>
                  </wp:positionV>
                  <wp:extent cx="3240000" cy="4543425"/>
                  <wp:effectExtent l="0" t="0" r="0" b="0"/>
                  <wp:wrapNone/>
                  <wp:docPr id="32" name="Chart 32">
                    <a:extLst xmlns:a="http://schemas.openxmlformats.org/drawingml/2006/main">
                      <a:ext uri="{FF2B5EF4-FFF2-40B4-BE49-F238E27FC236}">
                        <a16:creationId xmlns:a16="http://schemas.microsoft.com/office/drawing/2014/main" id="{5DA7C026-4E48-4E3B-91BC-35491C54CC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p>
        </w:tc>
        <w:bookmarkStart w:id="1" w:name="_GoBack"/>
        <w:bookmarkEnd w:id="1"/>
      </w:tr>
      <w:tr w:rsidR="00E51BF7" w14:paraId="3D02AD0D" w14:textId="77777777" w:rsidTr="00C375CB">
        <w:trPr>
          <w:trHeight w:val="924"/>
        </w:trPr>
        <w:tc>
          <w:tcPr>
            <w:tcW w:w="5387" w:type="dxa"/>
          </w:tcPr>
          <w:p w14:paraId="34A8AB90" w14:textId="794E0922" w:rsidR="00045AF2" w:rsidRPr="002D17CD" w:rsidRDefault="00045AF2" w:rsidP="00045AF2">
            <w:pPr>
              <w:pStyle w:val="NumPara"/>
              <w:numPr>
                <w:ilvl w:val="0"/>
                <w:numId w:val="0"/>
              </w:numPr>
              <w:tabs>
                <w:tab w:val="left" w:pos="720"/>
              </w:tabs>
              <w:spacing w:before="0" w:after="0"/>
              <w:rPr>
                <w:rFonts w:cstheme="minorHAnsi"/>
                <w:i/>
                <w:sz w:val="20"/>
                <w:szCs w:val="20"/>
              </w:rPr>
            </w:pPr>
            <w:r w:rsidRPr="002D17CD">
              <w:rPr>
                <w:rFonts w:asciiTheme="minorHAnsi" w:hAnsiTheme="minorHAnsi" w:cstheme="minorHAnsi"/>
                <w:i/>
                <w:sz w:val="20"/>
                <w:szCs w:val="20"/>
              </w:rPr>
              <w:t xml:space="preserve">Figure </w:t>
            </w:r>
            <w:r w:rsidR="006E3E85" w:rsidRPr="002D17CD">
              <w:rPr>
                <w:rFonts w:asciiTheme="minorHAnsi" w:hAnsiTheme="minorHAnsi" w:cstheme="minorHAnsi"/>
                <w:i/>
                <w:sz w:val="20"/>
                <w:szCs w:val="20"/>
              </w:rPr>
              <w:t>2</w:t>
            </w:r>
            <w:r w:rsidRPr="006E3E85">
              <w:rPr>
                <w:rFonts w:asciiTheme="minorHAnsi" w:hAnsiTheme="minorHAnsi" w:cstheme="minorHAnsi"/>
                <w:i/>
                <w:sz w:val="20"/>
                <w:szCs w:val="20"/>
              </w:rPr>
              <w:t>: Number of downloads of each of the MEDIN data guidelines in 2020-21 (dark blue) compared to 2019-20 (</w:t>
            </w:r>
            <w:r w:rsidR="00D9609A">
              <w:rPr>
                <w:rFonts w:asciiTheme="minorHAnsi" w:hAnsiTheme="minorHAnsi" w:cstheme="minorHAnsi"/>
                <w:i/>
                <w:sz w:val="20"/>
                <w:szCs w:val="20"/>
              </w:rPr>
              <w:t>orange</w:t>
            </w:r>
            <w:r w:rsidRPr="006E3E85">
              <w:rPr>
                <w:rFonts w:asciiTheme="minorHAnsi" w:hAnsiTheme="minorHAnsi" w:cstheme="minorHAnsi"/>
                <w:i/>
                <w:sz w:val="20"/>
                <w:szCs w:val="20"/>
              </w:rPr>
              <w:t>).</w:t>
            </w:r>
          </w:p>
          <w:p w14:paraId="614F136C" w14:textId="77777777" w:rsidR="00E51BF7" w:rsidRPr="002D17CD" w:rsidRDefault="00E51BF7" w:rsidP="009456BE"/>
        </w:tc>
        <w:tc>
          <w:tcPr>
            <w:tcW w:w="5387" w:type="dxa"/>
          </w:tcPr>
          <w:p w14:paraId="31A90A73" w14:textId="3F14CAFF" w:rsidR="00E51BF7" w:rsidRPr="002D17CD" w:rsidRDefault="00045AF2" w:rsidP="009456BE">
            <w:pPr>
              <w:rPr>
                <w:i/>
                <w:sz w:val="20"/>
                <w:szCs w:val="20"/>
              </w:rPr>
            </w:pPr>
            <w:r w:rsidRPr="002D17CD">
              <w:rPr>
                <w:i/>
                <w:sz w:val="20"/>
                <w:szCs w:val="20"/>
              </w:rPr>
              <w:t xml:space="preserve">Figure </w:t>
            </w:r>
            <w:r w:rsidR="006E3E85" w:rsidRPr="002D17CD">
              <w:rPr>
                <w:i/>
                <w:sz w:val="20"/>
                <w:szCs w:val="20"/>
              </w:rPr>
              <w:t>3</w:t>
            </w:r>
            <w:r w:rsidRPr="002D17CD">
              <w:rPr>
                <w:i/>
                <w:sz w:val="20"/>
                <w:szCs w:val="20"/>
              </w:rPr>
              <w:t>: Cumulative number of times the MED</w:t>
            </w:r>
            <w:r w:rsidR="006B42D2">
              <w:rPr>
                <w:i/>
                <w:sz w:val="20"/>
                <w:szCs w:val="20"/>
              </w:rPr>
              <w:t>I</w:t>
            </w:r>
            <w:r w:rsidRPr="002D17CD">
              <w:rPr>
                <w:i/>
                <w:sz w:val="20"/>
                <w:szCs w:val="20"/>
              </w:rPr>
              <w:t xml:space="preserve">N data guidelines (dark blue) and </w:t>
            </w:r>
            <w:r w:rsidR="00F02E38">
              <w:rPr>
                <w:i/>
                <w:sz w:val="20"/>
                <w:szCs w:val="20"/>
              </w:rPr>
              <w:t>MEDIN</w:t>
            </w:r>
            <w:r w:rsidR="00F02E38" w:rsidRPr="002D17CD">
              <w:rPr>
                <w:i/>
                <w:sz w:val="20"/>
                <w:szCs w:val="20"/>
              </w:rPr>
              <w:t xml:space="preserve"> </w:t>
            </w:r>
            <w:r w:rsidRPr="002D17CD">
              <w:rPr>
                <w:i/>
                <w:sz w:val="20"/>
                <w:szCs w:val="20"/>
              </w:rPr>
              <w:t>metadata standard (</w:t>
            </w:r>
            <w:r w:rsidR="00D9609A">
              <w:rPr>
                <w:i/>
                <w:sz w:val="20"/>
                <w:szCs w:val="20"/>
              </w:rPr>
              <w:t>orange</w:t>
            </w:r>
            <w:r w:rsidRPr="002D17CD">
              <w:rPr>
                <w:i/>
                <w:sz w:val="20"/>
                <w:szCs w:val="20"/>
              </w:rPr>
              <w:t xml:space="preserve">) were downloaded per month during 2020-21 (solid) compared to 2019-20 (dashed). </w:t>
            </w:r>
          </w:p>
        </w:tc>
      </w:tr>
    </w:tbl>
    <w:p w14:paraId="2FFCBA7F" w14:textId="07F0462C" w:rsidR="009456BE" w:rsidRPr="00557D34" w:rsidRDefault="009456BE" w:rsidP="009456BE">
      <w:pPr>
        <w:pStyle w:val="Heading2"/>
      </w:pPr>
      <w:r w:rsidRPr="00557D34">
        <w:t xml:space="preserve">Challenges and </w:t>
      </w:r>
      <w:r>
        <w:t>O</w:t>
      </w:r>
      <w:r w:rsidRPr="00557D34">
        <w:t>pportunities</w:t>
      </w:r>
    </w:p>
    <w:p w14:paraId="7CDBD5C8" w14:textId="77777777" w:rsidR="00790443" w:rsidRDefault="009456BE" w:rsidP="0064566F">
      <w:r w:rsidRPr="00877E05">
        <w:t xml:space="preserve">Due to travel restrictions during the COVID-19 pandemic we were unable to provide the usual training workshops at locations around the UK, however this provided the opportunity to develop online training resources. </w:t>
      </w:r>
      <w:r>
        <w:t>A</w:t>
      </w:r>
      <w:r w:rsidRPr="00877E05">
        <w:t xml:space="preserve"> modular online training course</w:t>
      </w:r>
      <w:r>
        <w:t xml:space="preserve"> was developed</w:t>
      </w:r>
      <w:r w:rsidRPr="00877E05">
        <w:t xml:space="preserve"> covering an introduction to data governance and MEDIN, controlled vocabularies, using the MEDIN data guidelines, and creating MEDIN compliant discovery metadata. The modular course structure will allow additional modules to be included from MEDIN partners and sponsors; OceanWise Ltd. </w:t>
      </w:r>
      <w:r>
        <w:t xml:space="preserve">have already </w:t>
      </w:r>
      <w:r w:rsidRPr="00877E05">
        <w:t>provided some general data management modules. These online resources</w:t>
      </w:r>
      <w:r>
        <w:t xml:space="preserve"> increase the resilience of MEDIN training, allowing training to continue despite ongoing travel restrictions, and</w:t>
      </w:r>
      <w:r w:rsidRPr="00877E05">
        <w:t xml:space="preserve"> can continue to be used after travel restrictions are lifted to reach people that would not otherwise be able to attend MEDIN workshops.</w:t>
      </w:r>
      <w:r>
        <w:t xml:space="preserve"> The online course is also not subject to space limitations of in-person workshops which can allow MEDIN to reach many more people.</w:t>
      </w:r>
    </w:p>
    <w:p w14:paraId="588EBEE4" w14:textId="5BF26364" w:rsidR="0064566F" w:rsidRDefault="0064566F" w:rsidP="0064566F">
      <w:r>
        <w:t xml:space="preserve">MEDIN has continued to represent the marine geospatial community in the field of metadata through our active presence on the GEMINI Working Group, and through our participation in the British Standards Institution (BSi) Technical Committee IST/36 on geospatial metadata. </w:t>
      </w:r>
    </w:p>
    <w:p w14:paraId="4A810771" w14:textId="77777777" w:rsidR="00734193" w:rsidRDefault="00734193" w:rsidP="00734193">
      <w:r>
        <w:rPr>
          <w:rFonts w:eastAsia="Times New Roman"/>
          <w:noProof/>
          <w:lang w:eastAsia="en-GB"/>
        </w:rPr>
        <w:lastRenderedPageBreak/>
        <w:drawing>
          <wp:inline distT="0" distB="0" distL="0" distR="0" wp14:anchorId="1B252ECD" wp14:editId="203BAEE6">
            <wp:extent cx="6638925" cy="1924050"/>
            <wp:effectExtent l="38100" t="19050" r="47625" b="3810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5218231A" w14:textId="77777777" w:rsidR="004524F2" w:rsidRPr="00CA3C6B" w:rsidRDefault="004524F2" w:rsidP="004524F2">
      <w:r w:rsidRPr="00CA3C6B">
        <w:t xml:space="preserve">Effective online tools are key to providing users with access to marine data. The MEDIN discovery metadata portal (“the MEDIN portal”) is by far the most comprehensive online catalogue of UK marine environmental data available. </w:t>
      </w:r>
    </w:p>
    <w:p w14:paraId="03078F8A" w14:textId="77777777" w:rsidR="004524F2" w:rsidRDefault="004524F2" w:rsidP="004524F2">
      <w:r w:rsidRPr="00CA3C6B">
        <w:t>We meet the needs of the marine community in finding marine data and information with two main tools: the MEDIN portal and the UK Directory of Marine Observing Systems (UKDMOS). A user goes to UKDMOS to discover information about monitoring programmes undertaken in the UK and to the MEDIN portal to search for actual data. The two search interfaces are equally distinct allowing users to interrogate the metadata to answer different questions.</w:t>
      </w:r>
      <w:r>
        <w:t xml:space="preserve"> </w:t>
      </w:r>
    </w:p>
    <w:p w14:paraId="541A549C" w14:textId="705A2CA6" w:rsidR="004524F2" w:rsidRDefault="006A19B4" w:rsidP="004524F2">
      <w:pPr>
        <w:pStyle w:val="Heading2"/>
      </w:pPr>
      <w:r>
        <w:t>Users of</w:t>
      </w:r>
      <w:r w:rsidR="004524F2">
        <w:t xml:space="preserve"> the </w:t>
      </w:r>
      <w:r>
        <w:t xml:space="preserve">MEDIN </w:t>
      </w:r>
      <w:r w:rsidR="004524F2">
        <w:t>portal</w:t>
      </w:r>
    </w:p>
    <w:p w14:paraId="112CB659" w14:textId="6647F15F" w:rsidR="004524F2" w:rsidRDefault="004524F2" w:rsidP="004524F2">
      <w:r>
        <w:t xml:space="preserve">There was no obvious impact of the global pandemic on portal usage (see plot below).  </w:t>
      </w:r>
      <w:r w:rsidR="00666869">
        <w:t>H</w:t>
      </w:r>
      <w:r>
        <w:t>igh traffic</w:t>
      </w:r>
      <w:r w:rsidR="00666869">
        <w:t xml:space="preserve"> in April 2020</w:t>
      </w:r>
      <w:r>
        <w:t xml:space="preserve"> was down to the site being crawled by Huawei’s new search engine Aspiegel</w:t>
      </w:r>
      <w:r w:rsidR="00666869">
        <w:t xml:space="preserve"> and</w:t>
      </w:r>
      <w:r w:rsidR="006A19B4">
        <w:t xml:space="preserve"> </w:t>
      </w:r>
      <w:r w:rsidR="00666869">
        <w:t>t</w:t>
      </w:r>
      <w:r>
        <w:t>he peak number of pages accessed in June 2020 was a single IP address with 120</w:t>
      </w:r>
      <w:r w:rsidR="00D41346">
        <w:t>K</w:t>
      </w:r>
      <w:r>
        <w:t xml:space="preserve"> pages accessed across the month which again suggests a bot or crawler.  </w:t>
      </w:r>
    </w:p>
    <w:p w14:paraId="7B5C3E5C" w14:textId="77777777" w:rsidR="004524F2" w:rsidRDefault="004524F2" w:rsidP="004524F2">
      <w:r>
        <w:t>Thereafter there was some levelling off for visits and unique visitors (between 800 to 2000 per month) compared to other stable periods in recent years (&lt;1000 per month) which may indicate an improved base number of portal users who return consistently to the portal. A trend we would like to see continue.</w:t>
      </w:r>
    </w:p>
    <w:p w14:paraId="1CD13AF2" w14:textId="77777777" w:rsidR="004524F2" w:rsidRDefault="004524F2" w:rsidP="004524F2">
      <w:pPr>
        <w:spacing w:after="0"/>
        <w:jc w:val="center"/>
      </w:pPr>
      <w:r>
        <w:t>Overall, the headline figures for FY 2020-2021 were:</w:t>
      </w:r>
    </w:p>
    <w:p w14:paraId="21CF2291" w14:textId="05A59FF2" w:rsidR="004524F2" w:rsidRDefault="004524F2" w:rsidP="004524F2">
      <w:pPr>
        <w:spacing w:after="0"/>
        <w:jc w:val="center"/>
      </w:pPr>
      <w:r>
        <w:rPr>
          <w:b/>
        </w:rPr>
        <w:t>1</w:t>
      </w:r>
      <w:r w:rsidR="000B111A">
        <w:rPr>
          <w:b/>
        </w:rPr>
        <w:t>,</w:t>
      </w:r>
      <w:r>
        <w:rPr>
          <w:b/>
        </w:rPr>
        <w:t>000</w:t>
      </w:r>
      <w:r>
        <w:t xml:space="preserve"> the average number of unique visitors per month</w:t>
      </w:r>
    </w:p>
    <w:p w14:paraId="226DE78C" w14:textId="0042D4A9" w:rsidR="004524F2" w:rsidRDefault="004524F2" w:rsidP="004524F2">
      <w:pPr>
        <w:spacing w:after="0"/>
        <w:jc w:val="center"/>
        <w:rPr>
          <w:b/>
        </w:rPr>
      </w:pPr>
      <w:r>
        <w:rPr>
          <w:b/>
        </w:rPr>
        <w:t>2</w:t>
      </w:r>
      <w:r w:rsidR="000B111A">
        <w:rPr>
          <w:b/>
        </w:rPr>
        <w:t>,4</w:t>
      </w:r>
      <w:r>
        <w:rPr>
          <w:b/>
        </w:rPr>
        <w:t>00</w:t>
      </w:r>
      <w:r>
        <w:t xml:space="preserve"> the average number of visits (or </w:t>
      </w:r>
      <w:r w:rsidR="00193789">
        <w:t>‘sessions</w:t>
      </w:r>
      <w:r>
        <w:t>’) per month</w:t>
      </w:r>
    </w:p>
    <w:p w14:paraId="6D58BBA6" w14:textId="77777777" w:rsidR="004524F2" w:rsidRDefault="004524F2" w:rsidP="004524F2">
      <w:pPr>
        <w:spacing w:after="0"/>
        <w:jc w:val="center"/>
      </w:pPr>
      <w:r>
        <w:rPr>
          <w:b/>
        </w:rPr>
        <w:t>23,000</w:t>
      </w:r>
      <w:r>
        <w:t xml:space="preserve"> the average number of portal pages accessed per month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4524F2" w14:paraId="78BCE151" w14:textId="77777777" w:rsidTr="00581230">
        <w:tc>
          <w:tcPr>
            <w:tcW w:w="10466" w:type="dxa"/>
          </w:tcPr>
          <w:p w14:paraId="0023CEB0" w14:textId="77777777" w:rsidR="004524F2" w:rsidRDefault="004524F2" w:rsidP="00581230">
            <w:pPr>
              <w:jc w:val="center"/>
              <w:rPr>
                <w:b/>
              </w:rPr>
            </w:pPr>
            <w:r>
              <w:rPr>
                <w:noProof/>
              </w:rPr>
              <w:drawing>
                <wp:inline distT="0" distB="0" distL="0" distR="0" wp14:anchorId="0E60E51B" wp14:editId="5C0A797D">
                  <wp:extent cx="6362700" cy="2063750"/>
                  <wp:effectExtent l="0" t="0" r="0" b="0"/>
                  <wp:docPr id="4" name="Chart 4">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r w:rsidR="004524F2" w14:paraId="4CDC754B" w14:textId="77777777" w:rsidTr="00581230">
        <w:tc>
          <w:tcPr>
            <w:tcW w:w="10466" w:type="dxa"/>
          </w:tcPr>
          <w:p w14:paraId="011CE727" w14:textId="7DA91602" w:rsidR="004524F2" w:rsidRPr="006A19B4" w:rsidRDefault="005716C1" w:rsidP="006A19B4">
            <w:pPr>
              <w:rPr>
                <w:i/>
                <w:sz w:val="20"/>
                <w:szCs w:val="20"/>
              </w:rPr>
            </w:pPr>
            <w:r w:rsidRPr="006A19B4">
              <w:rPr>
                <w:bCs/>
                <w:i/>
                <w:sz w:val="20"/>
                <w:szCs w:val="20"/>
              </w:rPr>
              <w:t xml:space="preserve">Figure 4: </w:t>
            </w:r>
            <w:r w:rsidR="004524F2" w:rsidRPr="006A19B4">
              <w:rPr>
                <w:bCs/>
                <w:i/>
                <w:sz w:val="20"/>
                <w:szCs w:val="20"/>
              </w:rPr>
              <w:t xml:space="preserve">MEDIN Portal web traffic (numbers per month) from </w:t>
            </w:r>
            <w:r>
              <w:rPr>
                <w:bCs/>
                <w:i/>
                <w:sz w:val="20"/>
                <w:szCs w:val="20"/>
              </w:rPr>
              <w:t>April</w:t>
            </w:r>
            <w:r w:rsidR="004524F2" w:rsidRPr="006A19B4">
              <w:rPr>
                <w:bCs/>
                <w:i/>
                <w:sz w:val="20"/>
                <w:szCs w:val="20"/>
              </w:rPr>
              <w:t xml:space="preserve"> </w:t>
            </w:r>
            <w:r>
              <w:rPr>
                <w:bCs/>
                <w:i/>
                <w:sz w:val="20"/>
                <w:szCs w:val="20"/>
              </w:rPr>
              <w:t>2019</w:t>
            </w:r>
            <w:r w:rsidRPr="006A19B4">
              <w:rPr>
                <w:bCs/>
                <w:i/>
                <w:sz w:val="20"/>
                <w:szCs w:val="20"/>
              </w:rPr>
              <w:t xml:space="preserve"> </w:t>
            </w:r>
            <w:r w:rsidR="004524F2" w:rsidRPr="006A19B4">
              <w:rPr>
                <w:bCs/>
                <w:i/>
                <w:sz w:val="20"/>
                <w:szCs w:val="20"/>
              </w:rPr>
              <w:t>to March 2021</w:t>
            </w:r>
          </w:p>
        </w:tc>
      </w:tr>
    </w:tbl>
    <w:p w14:paraId="408CABF1" w14:textId="77777777" w:rsidR="004524F2" w:rsidRDefault="004524F2" w:rsidP="004524F2">
      <w:pPr>
        <w:spacing w:after="0"/>
        <w:jc w:val="center"/>
        <w:rPr>
          <w:b/>
        </w:rPr>
      </w:pPr>
    </w:p>
    <w:p w14:paraId="324826D4" w14:textId="4CCBFC9D" w:rsidR="00976B44" w:rsidRDefault="004524F2" w:rsidP="00976B44">
      <w:r>
        <w:t>The t</w:t>
      </w:r>
      <w:r w:rsidRPr="00B656BF">
        <w:t>otal number of</w:t>
      </w:r>
      <w:r>
        <w:t xml:space="preserve"> metadata</w:t>
      </w:r>
      <w:r w:rsidRPr="00B656BF">
        <w:t xml:space="preserve"> records in the MEDIN portal </w:t>
      </w:r>
      <w:r>
        <w:t>as of</w:t>
      </w:r>
      <w:r w:rsidRPr="00B656BF">
        <w:t xml:space="preserve"> 31st March 2021</w:t>
      </w:r>
      <w:r>
        <w:t xml:space="preserve"> was</w:t>
      </w:r>
      <w:r w:rsidRPr="00B656BF">
        <w:t xml:space="preserve"> 15,693</w:t>
      </w:r>
      <w:r>
        <w:t xml:space="preserve"> (for comparison, as of August 2020, there were 15,909).</w:t>
      </w:r>
      <w:r w:rsidR="00506D09">
        <w:t xml:space="preserve"> </w:t>
      </w:r>
      <w:r w:rsidR="00976B44" w:rsidRPr="00976B44">
        <w:t xml:space="preserve"> </w:t>
      </w:r>
      <w:r w:rsidR="00976B44">
        <w:t xml:space="preserve">The decline in numbers was down to DASSH doing metadata housekeeping i.e. removing duplicates and those records with too little information. Many Natural England </w:t>
      </w:r>
      <w:r w:rsidR="00344C36">
        <w:t xml:space="preserve">metadata records </w:t>
      </w:r>
      <w:r w:rsidR="00976B44">
        <w:t xml:space="preserve">have been unpublished temporarily to allow for update by the supplier. </w:t>
      </w:r>
    </w:p>
    <w:p w14:paraId="3A288B8D" w14:textId="37497C70" w:rsidR="00976B44" w:rsidRDefault="004524F2" w:rsidP="00976B44">
      <w:r>
        <w:lastRenderedPageBreak/>
        <w:t>Between 1</w:t>
      </w:r>
      <w:r w:rsidRPr="00C70AC1">
        <w:rPr>
          <w:vertAlign w:val="superscript"/>
        </w:rPr>
        <w:t>st</w:t>
      </w:r>
      <w:r>
        <w:t xml:space="preserve"> April 2020 and 31</w:t>
      </w:r>
      <w:r w:rsidRPr="00C70AC1">
        <w:rPr>
          <w:vertAlign w:val="superscript"/>
        </w:rPr>
        <w:t>st</w:t>
      </w:r>
      <w:r>
        <w:t xml:space="preserve"> March 2021, 2139 metadata records had their content updated or else a new record added to the portal by DACs. </w:t>
      </w:r>
      <w:r w:rsidR="00976B44">
        <w:t xml:space="preserve">The following table shows the titles of the most viewed metadata records </w:t>
      </w:r>
      <w:r w:rsidR="004753C9">
        <w:t>each</w:t>
      </w:r>
      <w:r w:rsidR="00976B44">
        <w:t xml:space="preserve"> month. Over half of the most viewed records are industry related (aggregate, wind farm, </w:t>
      </w:r>
      <w:r w:rsidR="000B111A">
        <w:t xml:space="preserve">and </w:t>
      </w:r>
      <w:r w:rsidR="00976B44">
        <w:t>fish farm).</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9380"/>
      </w:tblGrid>
      <w:tr w:rsidR="00976B44" w:rsidRPr="001F7AAA" w14:paraId="00AD834A" w14:textId="77777777" w:rsidTr="00344C36">
        <w:trPr>
          <w:trHeight w:val="290"/>
        </w:trPr>
        <w:tc>
          <w:tcPr>
            <w:tcW w:w="968" w:type="dxa"/>
            <w:shd w:val="clear" w:color="auto" w:fill="auto"/>
            <w:noWrap/>
            <w:hideMark/>
          </w:tcPr>
          <w:p w14:paraId="4DC1BF5C" w14:textId="77777777" w:rsidR="00976B44" w:rsidRPr="001F7AAA" w:rsidRDefault="00976B44" w:rsidP="00D41346">
            <w:pPr>
              <w:spacing w:after="0" w:line="240" w:lineRule="auto"/>
              <w:rPr>
                <w:rFonts w:ascii="Calibri" w:eastAsia="Times New Roman" w:hAnsi="Calibri" w:cs="Calibri"/>
                <w:color w:val="000000"/>
                <w:lang w:eastAsia="en-GB"/>
              </w:rPr>
            </w:pPr>
            <w:r w:rsidRPr="001F7AAA">
              <w:rPr>
                <w:rFonts w:ascii="Calibri" w:eastAsia="Times New Roman" w:hAnsi="Calibri" w:cs="Calibri"/>
                <w:color w:val="000000"/>
                <w:lang w:eastAsia="en-GB"/>
              </w:rPr>
              <w:t>Apr-20</w:t>
            </w:r>
          </w:p>
        </w:tc>
        <w:tc>
          <w:tcPr>
            <w:tcW w:w="9380" w:type="dxa"/>
            <w:shd w:val="clear" w:color="auto" w:fill="auto"/>
            <w:hideMark/>
          </w:tcPr>
          <w:p w14:paraId="1CD70A29" w14:textId="77777777" w:rsidR="00976B44" w:rsidRPr="001F7AAA" w:rsidRDefault="00976B44" w:rsidP="00D41346">
            <w:pPr>
              <w:spacing w:after="0" w:line="240" w:lineRule="auto"/>
              <w:rPr>
                <w:rFonts w:ascii="Calibri" w:eastAsia="Times New Roman" w:hAnsi="Calibri" w:cs="Calibri"/>
                <w:color w:val="000000"/>
                <w:lang w:eastAsia="en-GB"/>
              </w:rPr>
            </w:pPr>
            <w:r w:rsidRPr="001F7AAA">
              <w:rPr>
                <w:rFonts w:ascii="Calibri" w:eastAsia="Times New Roman" w:hAnsi="Calibri" w:cs="Calibri"/>
                <w:color w:val="000000"/>
                <w:lang w:eastAsia="en-GB"/>
              </w:rPr>
              <w:t>SEPA-180724-VIB1, The Scottish Salmon Company Ltd, Vuia Beag Marine Fin Fish Farm, site specific sea bed monitoring</w:t>
            </w:r>
          </w:p>
        </w:tc>
      </w:tr>
      <w:tr w:rsidR="00976B44" w:rsidRPr="001F7AAA" w14:paraId="39F12B16" w14:textId="77777777" w:rsidTr="00344C36">
        <w:trPr>
          <w:trHeight w:val="290"/>
        </w:trPr>
        <w:tc>
          <w:tcPr>
            <w:tcW w:w="968" w:type="dxa"/>
            <w:shd w:val="clear" w:color="auto" w:fill="auto"/>
            <w:noWrap/>
            <w:hideMark/>
          </w:tcPr>
          <w:p w14:paraId="1B9270CC" w14:textId="77777777" w:rsidR="00976B44" w:rsidRPr="001F7AAA" w:rsidRDefault="00976B44" w:rsidP="00D41346">
            <w:pPr>
              <w:spacing w:after="0" w:line="240" w:lineRule="auto"/>
              <w:rPr>
                <w:rFonts w:ascii="Calibri" w:eastAsia="Times New Roman" w:hAnsi="Calibri" w:cs="Calibri"/>
                <w:color w:val="000000"/>
                <w:lang w:eastAsia="en-GB"/>
              </w:rPr>
            </w:pPr>
            <w:r w:rsidRPr="001F7AAA">
              <w:rPr>
                <w:rFonts w:ascii="Calibri" w:eastAsia="Times New Roman" w:hAnsi="Calibri" w:cs="Calibri"/>
                <w:color w:val="000000"/>
                <w:lang w:eastAsia="en-GB"/>
              </w:rPr>
              <w:t>May-20</w:t>
            </w:r>
          </w:p>
        </w:tc>
        <w:tc>
          <w:tcPr>
            <w:tcW w:w="9380" w:type="dxa"/>
            <w:shd w:val="clear" w:color="auto" w:fill="auto"/>
            <w:hideMark/>
          </w:tcPr>
          <w:p w14:paraId="5BFDFD74" w14:textId="77777777" w:rsidR="00976B44" w:rsidRPr="001F7AAA" w:rsidRDefault="00976B44" w:rsidP="00D41346">
            <w:pPr>
              <w:spacing w:after="0" w:line="240" w:lineRule="auto"/>
              <w:rPr>
                <w:rFonts w:ascii="Calibri" w:eastAsia="Times New Roman" w:hAnsi="Calibri" w:cs="Calibri"/>
                <w:color w:val="000000"/>
                <w:lang w:eastAsia="en-GB"/>
              </w:rPr>
            </w:pPr>
            <w:r w:rsidRPr="001F7AAA">
              <w:rPr>
                <w:rFonts w:ascii="Calibri" w:eastAsia="Times New Roman" w:hAnsi="Calibri" w:cs="Calibri"/>
                <w:noProof/>
                <w:color w:val="000000"/>
                <w:lang w:eastAsia="en-GB"/>
              </w:rPr>
              <w:drawing>
                <wp:anchor distT="0" distB="0" distL="114300" distR="114300" simplePos="0" relativeHeight="251667456" behindDoc="0" locked="0" layoutInCell="1" allowOverlap="1" wp14:anchorId="50A9306C" wp14:editId="05B3801F">
                  <wp:simplePos x="0" y="0"/>
                  <wp:positionH relativeFrom="column">
                    <wp:posOffset>0</wp:posOffset>
                  </wp:positionH>
                  <wp:positionV relativeFrom="paragraph">
                    <wp:posOffset>0</wp:posOffset>
                  </wp:positionV>
                  <wp:extent cx="19050" cy="38100"/>
                  <wp:effectExtent l="0" t="0" r="19050" b="0"/>
                  <wp:wrapNone/>
                  <wp:docPr id="38" name="Picture 38" descr="http://statistics.maris2.nl/v_statistics/icon/other/hk.png">
                    <a:extLst xmlns:a="http://schemas.openxmlformats.org/drawingml/2006/main">
                      <a:ext uri="{FF2B5EF4-FFF2-40B4-BE49-F238E27FC236}">
                        <a16:creationId xmlns:a16="http://schemas.microsoft.com/office/drawing/2014/main" id="{3410514F-98AD-461D-B4E3-744273C029A4}"/>
                      </a:ext>
                    </a:extLst>
                  </wp:docPr>
                  <wp:cNvGraphicFramePr/>
                  <a:graphic xmlns:a="http://schemas.openxmlformats.org/drawingml/2006/main">
                    <a:graphicData uri="http://schemas.openxmlformats.org/drawingml/2006/picture">
                      <pic:pic xmlns:pic="http://schemas.openxmlformats.org/drawingml/2006/picture">
                        <pic:nvPicPr>
                          <pic:cNvPr id="15" name="Picture 14" descr="http://statistics.maris2.nl/v_statistics/icon/other/hk.png">
                            <a:extLst>
                              <a:ext uri="{FF2B5EF4-FFF2-40B4-BE49-F238E27FC236}">
                                <a16:creationId xmlns:a16="http://schemas.microsoft.com/office/drawing/2014/main" id="{3410514F-98AD-461D-B4E3-744273C029A4}"/>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0" cy="381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1F7AAA">
              <w:rPr>
                <w:rFonts w:ascii="Calibri" w:eastAsia="Times New Roman" w:hAnsi="Calibri" w:cs="Calibri"/>
                <w:noProof/>
                <w:color w:val="000000"/>
                <w:lang w:eastAsia="en-GB"/>
              </w:rPr>
              <w:drawing>
                <wp:anchor distT="0" distB="0" distL="114300" distR="114300" simplePos="0" relativeHeight="251668480" behindDoc="0" locked="0" layoutInCell="1" allowOverlap="1" wp14:anchorId="5246D36B" wp14:editId="02298585">
                  <wp:simplePos x="0" y="0"/>
                  <wp:positionH relativeFrom="column">
                    <wp:posOffset>0</wp:posOffset>
                  </wp:positionH>
                  <wp:positionV relativeFrom="paragraph">
                    <wp:posOffset>0</wp:posOffset>
                  </wp:positionV>
                  <wp:extent cx="50800" cy="38100"/>
                  <wp:effectExtent l="0" t="0" r="6350" b="0"/>
                  <wp:wrapNone/>
                  <wp:docPr id="37" name="Picture 37" descr="http://statistics.maris2.nl/v_statistics/icon/other/he.png">
                    <a:extLst xmlns:a="http://schemas.openxmlformats.org/drawingml/2006/main">
                      <a:ext uri="{FF2B5EF4-FFF2-40B4-BE49-F238E27FC236}">
                        <a16:creationId xmlns:a16="http://schemas.microsoft.com/office/drawing/2014/main" id="{3E724517-C27F-4F90-BE87-ADC9AA551D8D}"/>
                      </a:ext>
                    </a:extLst>
                  </wp:docPr>
                  <wp:cNvGraphicFramePr/>
                  <a:graphic xmlns:a="http://schemas.openxmlformats.org/drawingml/2006/main">
                    <a:graphicData uri="http://schemas.openxmlformats.org/drawingml/2006/picture">
                      <pic:pic xmlns:pic="http://schemas.openxmlformats.org/drawingml/2006/picture">
                        <pic:nvPicPr>
                          <pic:cNvPr id="16" name="Picture 15" descr="http://statistics.maris2.nl/v_statistics/icon/other/he.png">
                            <a:extLst>
                              <a:ext uri="{FF2B5EF4-FFF2-40B4-BE49-F238E27FC236}">
                                <a16:creationId xmlns:a16="http://schemas.microsoft.com/office/drawing/2014/main" id="{3E724517-C27F-4F90-BE87-ADC9AA551D8D}"/>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800" cy="381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1F7AAA">
              <w:rPr>
                <w:rFonts w:ascii="Calibri" w:eastAsia="Times New Roman" w:hAnsi="Calibri" w:cs="Calibri"/>
                <w:noProof/>
                <w:color w:val="000000"/>
                <w:lang w:eastAsia="en-GB"/>
              </w:rPr>
              <w:drawing>
                <wp:anchor distT="0" distB="0" distL="114300" distR="114300" simplePos="0" relativeHeight="251669504" behindDoc="0" locked="0" layoutInCell="1" allowOverlap="1" wp14:anchorId="0DF3E409" wp14:editId="607FE0E5">
                  <wp:simplePos x="0" y="0"/>
                  <wp:positionH relativeFrom="column">
                    <wp:posOffset>0</wp:posOffset>
                  </wp:positionH>
                  <wp:positionV relativeFrom="paragraph">
                    <wp:posOffset>0</wp:posOffset>
                  </wp:positionV>
                  <wp:extent cx="50800" cy="38100"/>
                  <wp:effectExtent l="0" t="0" r="6350" b="0"/>
                  <wp:wrapNone/>
                  <wp:docPr id="36" name="Picture 36" descr="http://statistics.maris2.nl/v_statistics/icon/other/hx.png">
                    <a:extLst xmlns:a="http://schemas.openxmlformats.org/drawingml/2006/main">
                      <a:ext uri="{FF2B5EF4-FFF2-40B4-BE49-F238E27FC236}">
                        <a16:creationId xmlns:a16="http://schemas.microsoft.com/office/drawing/2014/main" id="{259E9E47-1C73-4B6D-B611-3FFAB5422442}"/>
                      </a:ext>
                    </a:extLst>
                  </wp:docPr>
                  <wp:cNvGraphicFramePr/>
                  <a:graphic xmlns:a="http://schemas.openxmlformats.org/drawingml/2006/main">
                    <a:graphicData uri="http://schemas.openxmlformats.org/drawingml/2006/picture">
                      <pic:pic xmlns:pic="http://schemas.openxmlformats.org/drawingml/2006/picture">
                        <pic:nvPicPr>
                          <pic:cNvPr id="17" name="Picture 16" descr="http://statistics.maris2.nl/v_statistics/icon/other/hx.png">
                            <a:extLst>
                              <a:ext uri="{FF2B5EF4-FFF2-40B4-BE49-F238E27FC236}">
                                <a16:creationId xmlns:a16="http://schemas.microsoft.com/office/drawing/2014/main" id="{259E9E47-1C73-4B6D-B611-3FFAB5422442}"/>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800" cy="381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1F7AAA">
              <w:rPr>
                <w:rFonts w:ascii="Calibri" w:eastAsia="Times New Roman" w:hAnsi="Calibri" w:cs="Calibri"/>
                <w:noProof/>
                <w:color w:val="000000"/>
                <w:lang w:eastAsia="en-GB"/>
              </w:rPr>
              <w:drawing>
                <wp:anchor distT="0" distB="0" distL="114300" distR="114300" simplePos="0" relativeHeight="251670528" behindDoc="0" locked="0" layoutInCell="1" allowOverlap="1" wp14:anchorId="24E3A7CE" wp14:editId="4CA951EB">
                  <wp:simplePos x="0" y="0"/>
                  <wp:positionH relativeFrom="column">
                    <wp:posOffset>0</wp:posOffset>
                  </wp:positionH>
                  <wp:positionV relativeFrom="paragraph">
                    <wp:posOffset>0</wp:posOffset>
                  </wp:positionV>
                  <wp:extent cx="50800" cy="38100"/>
                  <wp:effectExtent l="0" t="0" r="6350" b="0"/>
                  <wp:wrapNone/>
                  <wp:docPr id="35" name="Picture 35" descr="http://statistics.maris2.nl/v_statistics/icon/other/hp.png">
                    <a:extLst xmlns:a="http://schemas.openxmlformats.org/drawingml/2006/main">
                      <a:ext uri="{FF2B5EF4-FFF2-40B4-BE49-F238E27FC236}">
                        <a16:creationId xmlns:a16="http://schemas.microsoft.com/office/drawing/2014/main" id="{02FBD2D6-E7AE-4CFF-B465-16625225DAAE}"/>
                      </a:ext>
                    </a:extLst>
                  </wp:docPr>
                  <wp:cNvGraphicFramePr/>
                  <a:graphic xmlns:a="http://schemas.openxmlformats.org/drawingml/2006/main">
                    <a:graphicData uri="http://schemas.openxmlformats.org/drawingml/2006/picture">
                      <pic:pic xmlns:pic="http://schemas.openxmlformats.org/drawingml/2006/picture">
                        <pic:nvPicPr>
                          <pic:cNvPr id="18" name="Picture 17" descr="http://statistics.maris2.nl/v_statistics/icon/other/hp.png">
                            <a:extLst>
                              <a:ext uri="{FF2B5EF4-FFF2-40B4-BE49-F238E27FC236}">
                                <a16:creationId xmlns:a16="http://schemas.microsoft.com/office/drawing/2014/main" id="{02FBD2D6-E7AE-4CFF-B465-16625225DAAE}"/>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800" cy="381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1F7AAA">
              <w:rPr>
                <w:rFonts w:ascii="Calibri" w:eastAsia="Times New Roman" w:hAnsi="Calibri" w:cs="Calibri"/>
                <w:noProof/>
                <w:color w:val="000000"/>
                <w:lang w:eastAsia="en-GB"/>
              </w:rPr>
              <w:drawing>
                <wp:anchor distT="0" distB="0" distL="114300" distR="114300" simplePos="0" relativeHeight="251671552" behindDoc="0" locked="0" layoutInCell="1" allowOverlap="1" wp14:anchorId="16B8742C" wp14:editId="3D4D809F">
                  <wp:simplePos x="0" y="0"/>
                  <wp:positionH relativeFrom="column">
                    <wp:posOffset>0</wp:posOffset>
                  </wp:positionH>
                  <wp:positionV relativeFrom="paragraph">
                    <wp:posOffset>0</wp:posOffset>
                  </wp:positionV>
                  <wp:extent cx="19050" cy="38100"/>
                  <wp:effectExtent l="0" t="0" r="19050" b="0"/>
                  <wp:wrapNone/>
                  <wp:docPr id="34" name="Picture 34" descr="http://statistics.maris2.nl/v_statistics/icon/other/hk.png">
                    <a:extLst xmlns:a="http://schemas.openxmlformats.org/drawingml/2006/main">
                      <a:ext uri="{FF2B5EF4-FFF2-40B4-BE49-F238E27FC236}">
                        <a16:creationId xmlns:a16="http://schemas.microsoft.com/office/drawing/2014/main" id="{D39ED788-8729-4B7A-8C2B-EC5637E73E67}"/>
                      </a:ext>
                    </a:extLst>
                  </wp:docPr>
                  <wp:cNvGraphicFramePr/>
                  <a:graphic xmlns:a="http://schemas.openxmlformats.org/drawingml/2006/main">
                    <a:graphicData uri="http://schemas.openxmlformats.org/drawingml/2006/picture">
                      <pic:pic xmlns:pic="http://schemas.openxmlformats.org/drawingml/2006/picture">
                        <pic:nvPicPr>
                          <pic:cNvPr id="19" name="Picture 18" descr="http://statistics.maris2.nl/v_statistics/icon/other/hk.png">
                            <a:extLst>
                              <a:ext uri="{FF2B5EF4-FFF2-40B4-BE49-F238E27FC236}">
                                <a16:creationId xmlns:a16="http://schemas.microsoft.com/office/drawing/2014/main" id="{D39ED788-8729-4B7A-8C2B-EC5637E73E67}"/>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050" cy="381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1F7AAA">
              <w:rPr>
                <w:rFonts w:ascii="Calibri" w:eastAsia="Times New Roman" w:hAnsi="Calibri" w:cs="Calibri"/>
                <w:noProof/>
                <w:color w:val="000000"/>
                <w:lang w:eastAsia="en-GB"/>
              </w:rPr>
              <w:drawing>
                <wp:anchor distT="0" distB="0" distL="114300" distR="114300" simplePos="0" relativeHeight="251672576" behindDoc="0" locked="0" layoutInCell="1" allowOverlap="1" wp14:anchorId="614C15EC" wp14:editId="3EF1E77C">
                  <wp:simplePos x="0" y="0"/>
                  <wp:positionH relativeFrom="column">
                    <wp:posOffset>0</wp:posOffset>
                  </wp:positionH>
                  <wp:positionV relativeFrom="paragraph">
                    <wp:posOffset>0</wp:posOffset>
                  </wp:positionV>
                  <wp:extent cx="12700" cy="38100"/>
                  <wp:effectExtent l="0" t="0" r="25400" b="0"/>
                  <wp:wrapNone/>
                  <wp:docPr id="33" name="Picture 33" descr="http://statistics.maris2.nl/v_statistics/icon/other/he.png">
                    <a:extLst xmlns:a="http://schemas.openxmlformats.org/drawingml/2006/main">
                      <a:ext uri="{FF2B5EF4-FFF2-40B4-BE49-F238E27FC236}">
                        <a16:creationId xmlns:a16="http://schemas.microsoft.com/office/drawing/2014/main" id="{F5F358DB-A28B-4BCE-AE82-6EDF79B25170}"/>
                      </a:ext>
                    </a:extLst>
                  </wp:docPr>
                  <wp:cNvGraphicFramePr/>
                  <a:graphic xmlns:a="http://schemas.openxmlformats.org/drawingml/2006/main">
                    <a:graphicData uri="http://schemas.openxmlformats.org/drawingml/2006/picture">
                      <pic:pic xmlns:pic="http://schemas.openxmlformats.org/drawingml/2006/picture">
                        <pic:nvPicPr>
                          <pic:cNvPr id="20" name="Picture 19" descr="http://statistics.maris2.nl/v_statistics/icon/other/he.png">
                            <a:extLst>
                              <a:ext uri="{FF2B5EF4-FFF2-40B4-BE49-F238E27FC236}">
                                <a16:creationId xmlns:a16="http://schemas.microsoft.com/office/drawing/2014/main" id="{F5F358DB-A28B-4BCE-AE82-6EDF79B25170}"/>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700" cy="381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1F7AAA">
              <w:rPr>
                <w:rFonts w:ascii="Calibri" w:eastAsia="Times New Roman" w:hAnsi="Calibri" w:cs="Calibri"/>
                <w:noProof/>
                <w:color w:val="000000"/>
                <w:lang w:eastAsia="en-GB"/>
              </w:rPr>
              <w:drawing>
                <wp:anchor distT="0" distB="0" distL="114300" distR="114300" simplePos="0" relativeHeight="251673600" behindDoc="0" locked="0" layoutInCell="1" allowOverlap="1" wp14:anchorId="614A5756" wp14:editId="7C056F88">
                  <wp:simplePos x="0" y="0"/>
                  <wp:positionH relativeFrom="column">
                    <wp:posOffset>0</wp:posOffset>
                  </wp:positionH>
                  <wp:positionV relativeFrom="paragraph">
                    <wp:posOffset>0</wp:posOffset>
                  </wp:positionV>
                  <wp:extent cx="19050" cy="38100"/>
                  <wp:effectExtent l="0" t="0" r="19050" b="0"/>
                  <wp:wrapNone/>
                  <wp:docPr id="21" name="Picture 21" descr="http://statistics.maris2.nl/v_statistics/icon/other/hx.png">
                    <a:extLst xmlns:a="http://schemas.openxmlformats.org/drawingml/2006/main">
                      <a:ext uri="{FF2B5EF4-FFF2-40B4-BE49-F238E27FC236}">
                        <a16:creationId xmlns:a16="http://schemas.microsoft.com/office/drawing/2014/main" id="{C61E9889-8AC5-4827-A9FB-3B642A44EEF6}"/>
                      </a:ext>
                    </a:extLst>
                  </wp:docPr>
                  <wp:cNvGraphicFramePr/>
                  <a:graphic xmlns:a="http://schemas.openxmlformats.org/drawingml/2006/main">
                    <a:graphicData uri="http://schemas.openxmlformats.org/drawingml/2006/picture">
                      <pic:pic xmlns:pic="http://schemas.openxmlformats.org/drawingml/2006/picture">
                        <pic:nvPicPr>
                          <pic:cNvPr id="21" name="Picture 20" descr="http://statistics.maris2.nl/v_statistics/icon/other/hx.png">
                            <a:extLst>
                              <a:ext uri="{FF2B5EF4-FFF2-40B4-BE49-F238E27FC236}">
                                <a16:creationId xmlns:a16="http://schemas.microsoft.com/office/drawing/2014/main" id="{C61E9889-8AC5-4827-A9FB-3B642A44EEF6}"/>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50" cy="381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1F7AAA">
              <w:rPr>
                <w:rFonts w:ascii="Calibri" w:eastAsia="Times New Roman" w:hAnsi="Calibri" w:cs="Calibri"/>
                <w:color w:val="000000"/>
                <w:lang w:eastAsia="en-GB"/>
              </w:rPr>
              <w:t>2012, University of Aarhus, Ormonde Offshore Wind Farm, Aerial Bird Surveys</w:t>
            </w:r>
          </w:p>
        </w:tc>
      </w:tr>
      <w:tr w:rsidR="00976B44" w:rsidRPr="001F7AAA" w14:paraId="1F96CA0D" w14:textId="77777777" w:rsidTr="00344C36">
        <w:trPr>
          <w:trHeight w:val="290"/>
        </w:trPr>
        <w:tc>
          <w:tcPr>
            <w:tcW w:w="968" w:type="dxa"/>
            <w:shd w:val="clear" w:color="auto" w:fill="auto"/>
            <w:noWrap/>
            <w:hideMark/>
          </w:tcPr>
          <w:p w14:paraId="740EC85A" w14:textId="77777777" w:rsidR="00976B44" w:rsidRPr="001F7AAA" w:rsidRDefault="00976B44" w:rsidP="00D41346">
            <w:pPr>
              <w:spacing w:after="0" w:line="240" w:lineRule="auto"/>
              <w:rPr>
                <w:rFonts w:ascii="Calibri" w:eastAsia="Times New Roman" w:hAnsi="Calibri" w:cs="Calibri"/>
                <w:color w:val="000000"/>
                <w:lang w:eastAsia="en-GB"/>
              </w:rPr>
            </w:pPr>
            <w:r w:rsidRPr="001F7AAA">
              <w:rPr>
                <w:rFonts w:ascii="Calibri" w:eastAsia="Times New Roman" w:hAnsi="Calibri" w:cs="Calibri"/>
                <w:color w:val="000000"/>
                <w:lang w:eastAsia="en-GB"/>
              </w:rPr>
              <w:t>Jun-20</w:t>
            </w:r>
          </w:p>
        </w:tc>
        <w:tc>
          <w:tcPr>
            <w:tcW w:w="9380" w:type="dxa"/>
            <w:shd w:val="clear" w:color="auto" w:fill="auto"/>
            <w:hideMark/>
          </w:tcPr>
          <w:p w14:paraId="76290AF8" w14:textId="77777777" w:rsidR="00976B44" w:rsidRPr="001F7AAA" w:rsidRDefault="00976B44" w:rsidP="00D41346">
            <w:pPr>
              <w:spacing w:after="0" w:line="240" w:lineRule="auto"/>
              <w:rPr>
                <w:rFonts w:ascii="Calibri" w:eastAsia="Times New Roman" w:hAnsi="Calibri" w:cs="Calibri"/>
                <w:color w:val="000000"/>
                <w:lang w:eastAsia="en-GB"/>
              </w:rPr>
            </w:pPr>
            <w:r w:rsidRPr="001F7AAA">
              <w:rPr>
                <w:rFonts w:ascii="Calibri" w:eastAsia="Times New Roman" w:hAnsi="Calibri" w:cs="Calibri"/>
                <w:color w:val="000000"/>
                <w:lang w:eastAsia="en-GB"/>
              </w:rPr>
              <w:t>Tarmac Marine Geophysical Records from Aggregate Industry Surveys (1989 - 2004)</w:t>
            </w:r>
          </w:p>
        </w:tc>
      </w:tr>
      <w:tr w:rsidR="00976B44" w:rsidRPr="001F7AAA" w14:paraId="41B39CE4" w14:textId="77777777" w:rsidTr="00344C36">
        <w:trPr>
          <w:trHeight w:val="290"/>
        </w:trPr>
        <w:tc>
          <w:tcPr>
            <w:tcW w:w="968" w:type="dxa"/>
            <w:shd w:val="clear" w:color="auto" w:fill="auto"/>
            <w:noWrap/>
            <w:hideMark/>
          </w:tcPr>
          <w:p w14:paraId="76D2153C" w14:textId="77777777" w:rsidR="00976B44" w:rsidRPr="001F7AAA" w:rsidRDefault="00976B44" w:rsidP="00D41346">
            <w:pPr>
              <w:spacing w:after="0" w:line="240" w:lineRule="auto"/>
              <w:rPr>
                <w:rFonts w:ascii="Calibri" w:eastAsia="Times New Roman" w:hAnsi="Calibri" w:cs="Calibri"/>
                <w:color w:val="000000"/>
                <w:lang w:eastAsia="en-GB"/>
              </w:rPr>
            </w:pPr>
            <w:r w:rsidRPr="001F7AAA">
              <w:rPr>
                <w:rFonts w:ascii="Calibri" w:eastAsia="Times New Roman" w:hAnsi="Calibri" w:cs="Calibri"/>
                <w:color w:val="000000"/>
                <w:lang w:eastAsia="en-GB"/>
              </w:rPr>
              <w:t>Jul-20</w:t>
            </w:r>
          </w:p>
        </w:tc>
        <w:tc>
          <w:tcPr>
            <w:tcW w:w="9380" w:type="dxa"/>
            <w:shd w:val="clear" w:color="auto" w:fill="auto"/>
            <w:hideMark/>
          </w:tcPr>
          <w:p w14:paraId="748587B2" w14:textId="77777777" w:rsidR="00976B44" w:rsidRPr="001F7AAA" w:rsidRDefault="00976B44" w:rsidP="00D41346">
            <w:pPr>
              <w:spacing w:after="0" w:line="240" w:lineRule="auto"/>
              <w:rPr>
                <w:rFonts w:ascii="Calibri" w:eastAsia="Times New Roman" w:hAnsi="Calibri" w:cs="Calibri"/>
                <w:color w:val="000000"/>
                <w:lang w:eastAsia="en-GB"/>
              </w:rPr>
            </w:pPr>
            <w:r w:rsidRPr="001F7AAA">
              <w:rPr>
                <w:rFonts w:ascii="Calibri" w:eastAsia="Times New Roman" w:hAnsi="Calibri" w:cs="Calibri"/>
                <w:color w:val="000000"/>
                <w:lang w:eastAsia="en-GB"/>
              </w:rPr>
              <w:t>Aggregate Area 473/2 Annual Monitoring Report</w:t>
            </w:r>
          </w:p>
        </w:tc>
      </w:tr>
      <w:tr w:rsidR="00976B44" w:rsidRPr="001F7AAA" w14:paraId="4544E3D5" w14:textId="77777777" w:rsidTr="00344C36">
        <w:trPr>
          <w:trHeight w:val="290"/>
        </w:trPr>
        <w:tc>
          <w:tcPr>
            <w:tcW w:w="968" w:type="dxa"/>
            <w:shd w:val="clear" w:color="auto" w:fill="auto"/>
            <w:noWrap/>
            <w:hideMark/>
          </w:tcPr>
          <w:p w14:paraId="2296BFF4" w14:textId="77777777" w:rsidR="00976B44" w:rsidRPr="001F7AAA" w:rsidRDefault="00976B44" w:rsidP="00D41346">
            <w:pPr>
              <w:spacing w:after="0" w:line="240" w:lineRule="auto"/>
              <w:rPr>
                <w:rFonts w:ascii="Calibri" w:eastAsia="Times New Roman" w:hAnsi="Calibri" w:cs="Calibri"/>
                <w:color w:val="000000"/>
                <w:lang w:eastAsia="en-GB"/>
              </w:rPr>
            </w:pPr>
            <w:r w:rsidRPr="001F7AAA">
              <w:rPr>
                <w:rFonts w:ascii="Calibri" w:eastAsia="Times New Roman" w:hAnsi="Calibri" w:cs="Calibri"/>
                <w:color w:val="000000"/>
                <w:lang w:eastAsia="en-GB"/>
              </w:rPr>
              <w:t>Aug-20</w:t>
            </w:r>
          </w:p>
        </w:tc>
        <w:tc>
          <w:tcPr>
            <w:tcW w:w="9380" w:type="dxa"/>
            <w:shd w:val="clear" w:color="auto" w:fill="auto"/>
            <w:hideMark/>
          </w:tcPr>
          <w:p w14:paraId="0C4EC76A" w14:textId="77777777" w:rsidR="00976B44" w:rsidRPr="001F7AAA" w:rsidRDefault="00976B44" w:rsidP="00D41346">
            <w:pPr>
              <w:spacing w:after="0" w:line="240" w:lineRule="auto"/>
              <w:rPr>
                <w:rFonts w:ascii="Calibri" w:eastAsia="Times New Roman" w:hAnsi="Calibri" w:cs="Calibri"/>
                <w:color w:val="000000"/>
                <w:lang w:eastAsia="en-GB"/>
              </w:rPr>
            </w:pPr>
            <w:r w:rsidRPr="001F7AAA">
              <w:rPr>
                <w:rFonts w:ascii="Calibri" w:eastAsia="Times New Roman" w:hAnsi="Calibri" w:cs="Calibri"/>
                <w:color w:val="000000"/>
                <w:lang w:eastAsia="en-GB"/>
              </w:rPr>
              <w:t>2001 Strategic Environmental Assessment SEA2 Technical report - Background information on marine mammals in the North Sea</w:t>
            </w:r>
          </w:p>
        </w:tc>
      </w:tr>
      <w:tr w:rsidR="00976B44" w:rsidRPr="001F7AAA" w14:paraId="3D52684D" w14:textId="77777777" w:rsidTr="00344C36">
        <w:trPr>
          <w:trHeight w:val="290"/>
        </w:trPr>
        <w:tc>
          <w:tcPr>
            <w:tcW w:w="968" w:type="dxa"/>
            <w:shd w:val="clear" w:color="auto" w:fill="auto"/>
            <w:noWrap/>
            <w:hideMark/>
          </w:tcPr>
          <w:p w14:paraId="7EE5304D" w14:textId="77777777" w:rsidR="00976B44" w:rsidRPr="001F7AAA" w:rsidRDefault="00976B44" w:rsidP="00D41346">
            <w:pPr>
              <w:spacing w:after="0" w:line="240" w:lineRule="auto"/>
              <w:rPr>
                <w:rFonts w:ascii="Calibri" w:eastAsia="Times New Roman" w:hAnsi="Calibri" w:cs="Calibri"/>
                <w:color w:val="000000"/>
                <w:lang w:eastAsia="en-GB"/>
              </w:rPr>
            </w:pPr>
            <w:r w:rsidRPr="001F7AAA">
              <w:rPr>
                <w:rFonts w:ascii="Calibri" w:eastAsia="Times New Roman" w:hAnsi="Calibri" w:cs="Calibri"/>
                <w:color w:val="000000"/>
                <w:lang w:eastAsia="en-GB"/>
              </w:rPr>
              <w:t>Sep-20</w:t>
            </w:r>
          </w:p>
        </w:tc>
        <w:tc>
          <w:tcPr>
            <w:tcW w:w="9380" w:type="dxa"/>
            <w:shd w:val="clear" w:color="auto" w:fill="auto"/>
            <w:hideMark/>
          </w:tcPr>
          <w:p w14:paraId="397AF694" w14:textId="77777777" w:rsidR="00976B44" w:rsidRPr="001F7AAA" w:rsidRDefault="00976B44" w:rsidP="00D41346">
            <w:pPr>
              <w:spacing w:after="0" w:line="240" w:lineRule="auto"/>
              <w:rPr>
                <w:rFonts w:ascii="Calibri" w:eastAsia="Times New Roman" w:hAnsi="Calibri" w:cs="Calibri"/>
                <w:color w:val="000000"/>
                <w:lang w:eastAsia="en-GB"/>
              </w:rPr>
            </w:pPr>
            <w:r w:rsidRPr="001F7AAA">
              <w:rPr>
                <w:rFonts w:ascii="Calibri" w:eastAsia="Times New Roman" w:hAnsi="Calibri" w:cs="Calibri"/>
                <w:color w:val="000000"/>
                <w:lang w:eastAsia="en-GB"/>
              </w:rPr>
              <w:t>Liverpool Bay/Irish Sea Coastal Observatory Data Set</w:t>
            </w:r>
          </w:p>
        </w:tc>
      </w:tr>
      <w:tr w:rsidR="00976B44" w:rsidRPr="001F7AAA" w14:paraId="61A696ED" w14:textId="77777777" w:rsidTr="00344C36">
        <w:trPr>
          <w:trHeight w:val="290"/>
        </w:trPr>
        <w:tc>
          <w:tcPr>
            <w:tcW w:w="968" w:type="dxa"/>
            <w:shd w:val="clear" w:color="auto" w:fill="auto"/>
            <w:noWrap/>
            <w:hideMark/>
          </w:tcPr>
          <w:p w14:paraId="1D783854" w14:textId="77777777" w:rsidR="00976B44" w:rsidRPr="001F7AAA" w:rsidRDefault="00976B44" w:rsidP="00D41346">
            <w:pPr>
              <w:spacing w:after="0" w:line="240" w:lineRule="auto"/>
              <w:rPr>
                <w:rFonts w:ascii="Calibri" w:eastAsia="Times New Roman" w:hAnsi="Calibri" w:cs="Calibri"/>
                <w:color w:val="000000"/>
                <w:lang w:eastAsia="en-GB"/>
              </w:rPr>
            </w:pPr>
            <w:r w:rsidRPr="001F7AAA">
              <w:rPr>
                <w:rFonts w:ascii="Calibri" w:eastAsia="Times New Roman" w:hAnsi="Calibri" w:cs="Calibri"/>
                <w:color w:val="000000"/>
                <w:lang w:eastAsia="en-GB"/>
              </w:rPr>
              <w:t>Oct-20</w:t>
            </w:r>
          </w:p>
        </w:tc>
        <w:tc>
          <w:tcPr>
            <w:tcW w:w="9380" w:type="dxa"/>
            <w:shd w:val="clear" w:color="auto" w:fill="auto"/>
            <w:hideMark/>
          </w:tcPr>
          <w:p w14:paraId="2815A6A4" w14:textId="77777777" w:rsidR="00976B44" w:rsidRPr="001F7AAA" w:rsidRDefault="00976B44" w:rsidP="00D41346">
            <w:pPr>
              <w:spacing w:after="0" w:line="240" w:lineRule="auto"/>
              <w:rPr>
                <w:rFonts w:ascii="Calibri" w:eastAsia="Times New Roman" w:hAnsi="Calibri" w:cs="Calibri"/>
                <w:color w:val="000000"/>
                <w:lang w:eastAsia="en-GB"/>
              </w:rPr>
            </w:pPr>
            <w:r w:rsidRPr="001F7AAA">
              <w:rPr>
                <w:rFonts w:ascii="Calibri" w:eastAsia="Times New Roman" w:hAnsi="Calibri" w:cs="Calibri"/>
                <w:color w:val="000000"/>
                <w:lang w:eastAsia="en-GB"/>
              </w:rPr>
              <w:t>Eastern Inshore Fisheries and Conservation Authority, Native oyster (Ostrea edulis) Holbrook Bay (Survey 2)</w:t>
            </w:r>
          </w:p>
        </w:tc>
      </w:tr>
      <w:tr w:rsidR="00976B44" w:rsidRPr="001F7AAA" w14:paraId="37DEE9F2" w14:textId="77777777" w:rsidTr="00344C36">
        <w:trPr>
          <w:trHeight w:val="290"/>
        </w:trPr>
        <w:tc>
          <w:tcPr>
            <w:tcW w:w="968" w:type="dxa"/>
            <w:shd w:val="clear" w:color="auto" w:fill="auto"/>
            <w:noWrap/>
            <w:hideMark/>
          </w:tcPr>
          <w:p w14:paraId="4EF8E886" w14:textId="77777777" w:rsidR="00976B44" w:rsidRPr="001F7AAA" w:rsidRDefault="00976B44" w:rsidP="00D41346">
            <w:pPr>
              <w:spacing w:after="0" w:line="240" w:lineRule="auto"/>
              <w:rPr>
                <w:rFonts w:ascii="Calibri" w:eastAsia="Times New Roman" w:hAnsi="Calibri" w:cs="Calibri"/>
                <w:color w:val="000000"/>
                <w:lang w:eastAsia="en-GB"/>
              </w:rPr>
            </w:pPr>
            <w:r w:rsidRPr="001F7AAA">
              <w:rPr>
                <w:rFonts w:ascii="Calibri" w:eastAsia="Times New Roman" w:hAnsi="Calibri" w:cs="Calibri"/>
                <w:color w:val="000000"/>
                <w:lang w:eastAsia="en-GB"/>
              </w:rPr>
              <w:t>Nov-20</w:t>
            </w:r>
          </w:p>
        </w:tc>
        <w:tc>
          <w:tcPr>
            <w:tcW w:w="9380" w:type="dxa"/>
            <w:shd w:val="clear" w:color="auto" w:fill="auto"/>
            <w:hideMark/>
          </w:tcPr>
          <w:p w14:paraId="3DFD4222" w14:textId="77777777" w:rsidR="00976B44" w:rsidRPr="001F7AAA" w:rsidRDefault="00976B44" w:rsidP="00D41346">
            <w:pPr>
              <w:spacing w:after="0" w:line="240" w:lineRule="auto"/>
              <w:rPr>
                <w:rFonts w:ascii="Calibri" w:eastAsia="Times New Roman" w:hAnsi="Calibri" w:cs="Calibri"/>
                <w:color w:val="000000"/>
                <w:lang w:eastAsia="en-GB"/>
              </w:rPr>
            </w:pPr>
            <w:r w:rsidRPr="001F7AAA">
              <w:rPr>
                <w:rFonts w:ascii="Calibri" w:eastAsia="Times New Roman" w:hAnsi="Calibri" w:cs="Calibri"/>
                <w:color w:val="000000"/>
                <w:lang w:eastAsia="en-GB"/>
              </w:rPr>
              <w:t>2009-2010, Royal Haskoning DHV, Thanet Offshore Wind Farm, Ornithological Survey</w:t>
            </w:r>
          </w:p>
        </w:tc>
      </w:tr>
      <w:tr w:rsidR="00976B44" w:rsidRPr="001F7AAA" w14:paraId="2B7FBA8D" w14:textId="77777777" w:rsidTr="00344C36">
        <w:trPr>
          <w:trHeight w:val="290"/>
        </w:trPr>
        <w:tc>
          <w:tcPr>
            <w:tcW w:w="968" w:type="dxa"/>
            <w:shd w:val="clear" w:color="auto" w:fill="auto"/>
            <w:noWrap/>
            <w:hideMark/>
          </w:tcPr>
          <w:p w14:paraId="7DC1A959" w14:textId="77777777" w:rsidR="00976B44" w:rsidRPr="001F7AAA" w:rsidRDefault="00976B44" w:rsidP="00D41346">
            <w:pPr>
              <w:spacing w:after="0" w:line="240" w:lineRule="auto"/>
              <w:rPr>
                <w:rFonts w:ascii="Calibri" w:eastAsia="Times New Roman" w:hAnsi="Calibri" w:cs="Calibri"/>
                <w:color w:val="000000"/>
                <w:lang w:eastAsia="en-GB"/>
              </w:rPr>
            </w:pPr>
            <w:r w:rsidRPr="001F7AAA">
              <w:rPr>
                <w:rFonts w:ascii="Calibri" w:eastAsia="Times New Roman" w:hAnsi="Calibri" w:cs="Calibri"/>
                <w:color w:val="000000"/>
                <w:lang w:eastAsia="en-GB"/>
              </w:rPr>
              <w:t>Dec-20</w:t>
            </w:r>
          </w:p>
        </w:tc>
        <w:tc>
          <w:tcPr>
            <w:tcW w:w="9380" w:type="dxa"/>
            <w:shd w:val="clear" w:color="auto" w:fill="auto"/>
            <w:hideMark/>
          </w:tcPr>
          <w:p w14:paraId="098AC3A1" w14:textId="77777777" w:rsidR="00976B44" w:rsidRPr="001F7AAA" w:rsidRDefault="00976B44" w:rsidP="00D41346">
            <w:pPr>
              <w:spacing w:after="0" w:line="240" w:lineRule="auto"/>
              <w:rPr>
                <w:rFonts w:ascii="Calibri" w:eastAsia="Times New Roman" w:hAnsi="Calibri" w:cs="Calibri"/>
                <w:color w:val="000000"/>
                <w:lang w:eastAsia="en-GB"/>
              </w:rPr>
            </w:pPr>
            <w:r w:rsidRPr="001F7AAA">
              <w:rPr>
                <w:rFonts w:ascii="Calibri" w:eastAsia="Times New Roman" w:hAnsi="Calibri" w:cs="Calibri"/>
                <w:color w:val="000000"/>
                <w:lang w:eastAsia="en-GB"/>
              </w:rPr>
              <w:t>2011 Irish Sea Conservation Zones, UK Historical Fishing Rights</w:t>
            </w:r>
          </w:p>
        </w:tc>
      </w:tr>
      <w:tr w:rsidR="00976B44" w:rsidRPr="001F7AAA" w14:paraId="18D2B49A" w14:textId="77777777" w:rsidTr="00344C36">
        <w:trPr>
          <w:trHeight w:val="580"/>
        </w:trPr>
        <w:tc>
          <w:tcPr>
            <w:tcW w:w="968" w:type="dxa"/>
            <w:shd w:val="clear" w:color="auto" w:fill="auto"/>
            <w:noWrap/>
            <w:hideMark/>
          </w:tcPr>
          <w:p w14:paraId="5E247C80" w14:textId="77777777" w:rsidR="00976B44" w:rsidRPr="001F7AAA" w:rsidRDefault="00976B44" w:rsidP="00D41346">
            <w:pPr>
              <w:spacing w:after="0" w:line="240" w:lineRule="auto"/>
              <w:rPr>
                <w:rFonts w:ascii="Calibri" w:eastAsia="Times New Roman" w:hAnsi="Calibri" w:cs="Calibri"/>
                <w:color w:val="000000"/>
                <w:lang w:eastAsia="en-GB"/>
              </w:rPr>
            </w:pPr>
            <w:r w:rsidRPr="001F7AAA">
              <w:rPr>
                <w:rFonts w:ascii="Calibri" w:eastAsia="Times New Roman" w:hAnsi="Calibri" w:cs="Calibri"/>
                <w:color w:val="000000"/>
                <w:lang w:eastAsia="en-GB"/>
              </w:rPr>
              <w:t>Jan-21</w:t>
            </w:r>
          </w:p>
        </w:tc>
        <w:tc>
          <w:tcPr>
            <w:tcW w:w="9380" w:type="dxa"/>
            <w:shd w:val="clear" w:color="auto" w:fill="auto"/>
            <w:hideMark/>
          </w:tcPr>
          <w:p w14:paraId="38C92D11" w14:textId="77777777" w:rsidR="00976B44" w:rsidRPr="001F7AAA" w:rsidRDefault="00976B44" w:rsidP="00D41346">
            <w:pPr>
              <w:spacing w:after="0" w:line="240" w:lineRule="auto"/>
              <w:rPr>
                <w:rFonts w:ascii="Calibri" w:eastAsia="Times New Roman" w:hAnsi="Calibri" w:cs="Calibri"/>
                <w:color w:val="000000"/>
                <w:lang w:eastAsia="en-GB"/>
              </w:rPr>
            </w:pPr>
            <w:r w:rsidRPr="001F7AAA">
              <w:rPr>
                <w:rFonts w:ascii="Calibri" w:eastAsia="Times New Roman" w:hAnsi="Calibri" w:cs="Calibri"/>
                <w:color w:val="000000"/>
                <w:lang w:eastAsia="en-GB"/>
              </w:rPr>
              <w:t>2018 - 2018 Centre for Environment, Fisheries &amp; Aquaculture Science (Cefas) Plankton Imager zooplankton data, acoustic fish biomass estimates, chlorophyll measurements and CTD data from the Celtic Sea and Western English Channel in October 2018</w:t>
            </w:r>
          </w:p>
        </w:tc>
      </w:tr>
      <w:tr w:rsidR="00976B44" w:rsidRPr="001F7AAA" w14:paraId="4D628A7E" w14:textId="77777777" w:rsidTr="00344C36">
        <w:trPr>
          <w:trHeight w:val="290"/>
        </w:trPr>
        <w:tc>
          <w:tcPr>
            <w:tcW w:w="968" w:type="dxa"/>
            <w:shd w:val="clear" w:color="auto" w:fill="auto"/>
            <w:noWrap/>
            <w:hideMark/>
          </w:tcPr>
          <w:p w14:paraId="66674019" w14:textId="77777777" w:rsidR="00976B44" w:rsidRPr="001F7AAA" w:rsidRDefault="00976B44" w:rsidP="00D41346">
            <w:pPr>
              <w:spacing w:after="0" w:line="240" w:lineRule="auto"/>
              <w:rPr>
                <w:rFonts w:ascii="Calibri" w:eastAsia="Times New Roman" w:hAnsi="Calibri" w:cs="Calibri"/>
                <w:color w:val="000000"/>
                <w:lang w:eastAsia="en-GB"/>
              </w:rPr>
            </w:pPr>
            <w:r w:rsidRPr="001F7AAA">
              <w:rPr>
                <w:rFonts w:ascii="Calibri" w:eastAsia="Times New Roman" w:hAnsi="Calibri" w:cs="Calibri"/>
                <w:color w:val="000000"/>
                <w:lang w:eastAsia="en-GB"/>
              </w:rPr>
              <w:t>Feb-21</w:t>
            </w:r>
          </w:p>
        </w:tc>
        <w:tc>
          <w:tcPr>
            <w:tcW w:w="9380" w:type="dxa"/>
            <w:shd w:val="clear" w:color="auto" w:fill="auto"/>
            <w:hideMark/>
          </w:tcPr>
          <w:p w14:paraId="2212FC37" w14:textId="77777777" w:rsidR="00976B44" w:rsidRPr="001F7AAA" w:rsidRDefault="00976B44" w:rsidP="00D41346">
            <w:pPr>
              <w:spacing w:after="0" w:line="240" w:lineRule="auto"/>
              <w:rPr>
                <w:rFonts w:ascii="Calibri" w:eastAsia="Times New Roman" w:hAnsi="Calibri" w:cs="Calibri"/>
                <w:color w:val="000000"/>
                <w:lang w:eastAsia="en-GB"/>
              </w:rPr>
            </w:pPr>
            <w:r w:rsidRPr="001F7AAA">
              <w:rPr>
                <w:rFonts w:ascii="Calibri" w:eastAsia="Times New Roman" w:hAnsi="Calibri" w:cs="Calibri"/>
                <w:color w:val="000000"/>
                <w:lang w:eastAsia="en-GB"/>
              </w:rPr>
              <w:t>Tarmac Marine Geophysical Records from Aggregate Industry Surveys (1989 - 2004)</w:t>
            </w:r>
          </w:p>
        </w:tc>
      </w:tr>
      <w:tr w:rsidR="00976B44" w:rsidRPr="001F7AAA" w14:paraId="6C6A9A2A" w14:textId="77777777" w:rsidTr="00344C36">
        <w:trPr>
          <w:trHeight w:val="290"/>
        </w:trPr>
        <w:tc>
          <w:tcPr>
            <w:tcW w:w="968" w:type="dxa"/>
            <w:shd w:val="clear" w:color="auto" w:fill="auto"/>
            <w:noWrap/>
            <w:hideMark/>
          </w:tcPr>
          <w:p w14:paraId="5867ECAC" w14:textId="77777777" w:rsidR="00976B44" w:rsidRPr="001F7AAA" w:rsidRDefault="00976B44" w:rsidP="00D41346">
            <w:pPr>
              <w:spacing w:after="0" w:line="240" w:lineRule="auto"/>
              <w:rPr>
                <w:rFonts w:ascii="Calibri" w:eastAsia="Times New Roman" w:hAnsi="Calibri" w:cs="Calibri"/>
                <w:color w:val="000000"/>
                <w:lang w:eastAsia="en-GB"/>
              </w:rPr>
            </w:pPr>
            <w:r w:rsidRPr="001F7AAA">
              <w:rPr>
                <w:rFonts w:ascii="Calibri" w:eastAsia="Times New Roman" w:hAnsi="Calibri" w:cs="Calibri"/>
                <w:color w:val="000000"/>
                <w:lang w:eastAsia="en-GB"/>
              </w:rPr>
              <w:t>Mar-21</w:t>
            </w:r>
          </w:p>
        </w:tc>
        <w:tc>
          <w:tcPr>
            <w:tcW w:w="9380" w:type="dxa"/>
            <w:shd w:val="clear" w:color="auto" w:fill="auto"/>
            <w:hideMark/>
          </w:tcPr>
          <w:p w14:paraId="25EF67B7" w14:textId="77777777" w:rsidR="00976B44" w:rsidRPr="001F7AAA" w:rsidRDefault="00976B44" w:rsidP="00D41346">
            <w:pPr>
              <w:spacing w:after="0" w:line="240" w:lineRule="auto"/>
              <w:rPr>
                <w:rFonts w:ascii="Calibri" w:eastAsia="Times New Roman" w:hAnsi="Calibri" w:cs="Calibri"/>
                <w:color w:val="000000"/>
                <w:lang w:eastAsia="en-GB"/>
              </w:rPr>
            </w:pPr>
            <w:r w:rsidRPr="001F7AAA">
              <w:rPr>
                <w:rFonts w:ascii="Calibri" w:eastAsia="Times New Roman" w:hAnsi="Calibri" w:cs="Calibri"/>
                <w:color w:val="000000"/>
                <w:lang w:eastAsia="en-GB"/>
              </w:rPr>
              <w:t>Defra UK Marine Strategy Area, Sub-Regions and Charting Progress 2 Assessment Areas (published November 2012)</w:t>
            </w:r>
          </w:p>
        </w:tc>
      </w:tr>
    </w:tbl>
    <w:p w14:paraId="6FAD1EDB" w14:textId="77932DE8" w:rsidR="004524F2" w:rsidRDefault="004524F2" w:rsidP="004524F2"/>
    <w:p w14:paraId="5F859D62" w14:textId="4E2B6237" w:rsidR="004524F2" w:rsidRDefault="004524F2" w:rsidP="004524F2">
      <w:pPr>
        <w:pStyle w:val="Heading2"/>
      </w:pPr>
      <w:r>
        <w:t>Refreshing UKDMOS metadata</w:t>
      </w:r>
    </w:p>
    <w:p w14:paraId="29406956" w14:textId="77777777" w:rsidR="00B81532" w:rsidRDefault="004524F2" w:rsidP="00B81532">
      <w:r>
        <w:t>This year’s traffic to UKDMOS (for visits and unique visitors) has been consistent with the previous financial year (</w:t>
      </w:r>
      <w:r w:rsidR="005716C1">
        <w:t>Figure 5</w:t>
      </w:r>
      <w:r>
        <w:t>). Unlike visits and unique visitors, from August 2020, page usage has increased sharply with similar visitor numbers to the site as previous years but more pages accessed per visit.</w:t>
      </w:r>
      <w:r w:rsidR="006A19B4">
        <w:t xml:space="preserve"> </w:t>
      </w:r>
      <w:r>
        <w:t xml:space="preserve">This financial year </w:t>
      </w:r>
      <w:r w:rsidR="0068439B">
        <w:t xml:space="preserve">we have </w:t>
      </w:r>
      <w:r>
        <w:t>review</w:t>
      </w:r>
      <w:r w:rsidR="0068439B">
        <w:t>ed</w:t>
      </w:r>
      <w:r>
        <w:t xml:space="preserve"> all UKDMOS records for errors (misspelling, grammar, unexpanded acronyms, organisational changes</w:t>
      </w:r>
      <w:r w:rsidR="004D5FA4">
        <w:t xml:space="preserve">, </w:t>
      </w:r>
      <w:r w:rsidR="0033440F">
        <w:t>operational status</w:t>
      </w:r>
      <w:r>
        <w:t xml:space="preserve">) </w:t>
      </w:r>
      <w:r w:rsidR="0068439B">
        <w:t>and contacted</w:t>
      </w:r>
      <w:r>
        <w:t xml:space="preserve"> metadata </w:t>
      </w:r>
      <w:r w:rsidR="0068439B">
        <w:t>suppliers</w:t>
      </w:r>
      <w:r>
        <w:t xml:space="preserve"> to review their records for accuracy. These activities have likely incurred the increase in number of pages accessed.</w:t>
      </w:r>
      <w:r w:rsidR="00B81532">
        <w:t xml:space="preserve"> UKDMOS has also been promoted to the UK Integrated Marine Observing Network (UK-IMON) community as a valuable tool for supporting the coordination of marine monitoring in the UK. </w:t>
      </w:r>
    </w:p>
    <w:p w14:paraId="572B1256" w14:textId="251ECA37" w:rsidR="004524F2" w:rsidRDefault="004524F2" w:rsidP="004524F2">
      <w:pPr>
        <w:spacing w:after="120"/>
      </w:pPr>
    </w:p>
    <w:p w14:paraId="2A6B4CED" w14:textId="77777777" w:rsidR="004524F2" w:rsidRDefault="004524F2" w:rsidP="004524F2">
      <w:pPr>
        <w:spacing w:after="0"/>
        <w:jc w:val="center"/>
      </w:pPr>
      <w:r>
        <w:t>Overall, the headline figures for FY 2020-2021 were:</w:t>
      </w:r>
    </w:p>
    <w:p w14:paraId="7172F836" w14:textId="77777777" w:rsidR="004524F2" w:rsidRDefault="004524F2" w:rsidP="004524F2">
      <w:pPr>
        <w:spacing w:after="0"/>
        <w:jc w:val="center"/>
      </w:pPr>
      <w:r>
        <w:rPr>
          <w:b/>
        </w:rPr>
        <w:t>500</w:t>
      </w:r>
      <w:r>
        <w:t xml:space="preserve"> the average number of unique visitors per month</w:t>
      </w:r>
    </w:p>
    <w:p w14:paraId="62A920D5" w14:textId="77777777" w:rsidR="004524F2" w:rsidRDefault="004524F2" w:rsidP="004524F2">
      <w:pPr>
        <w:spacing w:after="0"/>
        <w:jc w:val="center"/>
      </w:pPr>
      <w:r>
        <w:rPr>
          <w:b/>
        </w:rPr>
        <w:t>700</w:t>
      </w:r>
      <w:r>
        <w:t xml:space="preserve"> the average number of visits (or ‘sessions’) per month</w:t>
      </w:r>
    </w:p>
    <w:p w14:paraId="0D5D76E8" w14:textId="77777777" w:rsidR="004524F2" w:rsidRDefault="004524F2" w:rsidP="004524F2">
      <w:pPr>
        <w:spacing w:after="0"/>
        <w:jc w:val="center"/>
      </w:pPr>
      <w:r>
        <w:rPr>
          <w:b/>
        </w:rPr>
        <w:t>8,500</w:t>
      </w:r>
      <w:r>
        <w:t xml:space="preserve"> the average number of pages accessed per month</w:t>
      </w:r>
    </w:p>
    <w:p w14:paraId="55A7487E" w14:textId="77777777" w:rsidR="004524F2" w:rsidRDefault="004524F2" w:rsidP="004524F2">
      <w:pPr>
        <w:spacing w:after="0"/>
        <w:jc w:val="center"/>
      </w:pPr>
      <w:r w:rsidRPr="002D3319">
        <w:rPr>
          <w:b/>
        </w:rPr>
        <w:t>&gt;90%</w:t>
      </w:r>
      <w:r>
        <w:t xml:space="preserve"> UKDMOS reviewed by colleagues and modified</w:t>
      </w:r>
    </w:p>
    <w:p w14:paraId="0D94FC0B" w14:textId="77777777" w:rsidR="004524F2" w:rsidRDefault="004524F2" w:rsidP="004524F2">
      <w:pPr>
        <w:spacing w:after="0"/>
        <w:jc w:val="center"/>
      </w:pPr>
      <w:r w:rsidRPr="002D3319">
        <w:rPr>
          <w:b/>
        </w:rPr>
        <w:t>20%</w:t>
      </w:r>
      <w:r>
        <w:t xml:space="preserve"> UKDMOS reviewed by supplier and updated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4524F2" w14:paraId="3C940480" w14:textId="77777777" w:rsidTr="00581230">
        <w:tc>
          <w:tcPr>
            <w:tcW w:w="10456" w:type="dxa"/>
          </w:tcPr>
          <w:p w14:paraId="2795E58C" w14:textId="77777777" w:rsidR="004524F2" w:rsidRDefault="004524F2" w:rsidP="00581230">
            <w:pPr>
              <w:jc w:val="center"/>
              <w:rPr>
                <w:b/>
              </w:rPr>
            </w:pPr>
            <w:r>
              <w:rPr>
                <w:noProof/>
              </w:rPr>
              <w:drawing>
                <wp:inline distT="0" distB="0" distL="0" distR="0" wp14:anchorId="1E214A5D" wp14:editId="18E39C29">
                  <wp:extent cx="6400800" cy="1651000"/>
                  <wp:effectExtent l="0" t="0" r="0" b="6350"/>
                  <wp:docPr id="23" name="Chart 2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r w:rsidR="004524F2" w14:paraId="0B492CDB" w14:textId="77777777" w:rsidTr="00581230">
        <w:tc>
          <w:tcPr>
            <w:tcW w:w="10456" w:type="dxa"/>
          </w:tcPr>
          <w:p w14:paraId="477736F8" w14:textId="47CDB324" w:rsidR="005716C1" w:rsidRPr="006A19B4" w:rsidRDefault="004524F2" w:rsidP="006A19B4">
            <w:pPr>
              <w:rPr>
                <w:bCs/>
                <w:i/>
                <w:sz w:val="20"/>
                <w:szCs w:val="20"/>
              </w:rPr>
            </w:pPr>
            <w:r w:rsidRPr="00630DFE">
              <w:rPr>
                <w:bCs/>
                <w:i/>
              </w:rPr>
              <w:t xml:space="preserve">  </w:t>
            </w:r>
            <w:r w:rsidR="005716C1" w:rsidRPr="006A19B4">
              <w:rPr>
                <w:bCs/>
                <w:i/>
                <w:sz w:val="20"/>
                <w:szCs w:val="20"/>
              </w:rPr>
              <w:t xml:space="preserve">Figure </w:t>
            </w:r>
            <w:r w:rsidR="005716C1">
              <w:rPr>
                <w:bCs/>
                <w:i/>
                <w:sz w:val="20"/>
                <w:szCs w:val="20"/>
              </w:rPr>
              <w:t>5</w:t>
            </w:r>
            <w:r w:rsidR="005716C1" w:rsidRPr="006A19B4">
              <w:rPr>
                <w:bCs/>
                <w:i/>
                <w:sz w:val="20"/>
                <w:szCs w:val="20"/>
              </w:rPr>
              <w:t>: UKDMOS web traffic (numbers per month) from April 2016 to March 2021</w:t>
            </w:r>
          </w:p>
          <w:p w14:paraId="09688F2B" w14:textId="6E6A32A3" w:rsidR="004524F2" w:rsidRPr="00630DFE" w:rsidRDefault="004524F2" w:rsidP="00581230">
            <w:pPr>
              <w:rPr>
                <w:i/>
              </w:rPr>
            </w:pPr>
          </w:p>
        </w:tc>
      </w:tr>
    </w:tbl>
    <w:p w14:paraId="114A84EF" w14:textId="3EA660E4" w:rsidR="004524F2" w:rsidRDefault="00B35FD5" w:rsidP="004524F2">
      <w:pPr>
        <w:pStyle w:val="Heading2"/>
      </w:pPr>
      <w:r>
        <w:lastRenderedPageBreak/>
        <w:t>Meeting the needs of our users</w:t>
      </w:r>
    </w:p>
    <w:p w14:paraId="72DA8137" w14:textId="6BEC17D7" w:rsidR="004524F2" w:rsidRPr="003D2960" w:rsidRDefault="004524F2" w:rsidP="004524F2">
      <w:r w:rsidRPr="003D2960">
        <w:t xml:space="preserve">This year the focus of work </w:t>
      </w:r>
      <w:r w:rsidR="00B35FD5">
        <w:t>has been</w:t>
      </w:r>
      <w:r>
        <w:t xml:space="preserve"> develop</w:t>
      </w:r>
      <w:r w:rsidR="00B35FD5">
        <w:t>ing</w:t>
      </w:r>
      <w:r w:rsidR="0043775C">
        <w:t xml:space="preserve"> </w:t>
      </w:r>
      <w:r>
        <w:t xml:space="preserve">the portal to </w:t>
      </w:r>
      <w:r w:rsidR="00B35FD5">
        <w:t xml:space="preserve">meet our users’ needs. This includes </w:t>
      </w:r>
      <w:r>
        <w:t>accept</w:t>
      </w:r>
      <w:r w:rsidR="00B35FD5">
        <w:t>ing</w:t>
      </w:r>
      <w:r>
        <w:t xml:space="preserve"> and validat</w:t>
      </w:r>
      <w:r w:rsidR="00B35FD5">
        <w:t>ing content</w:t>
      </w:r>
      <w:r>
        <w:t xml:space="preserve"> against the </w:t>
      </w:r>
      <w:r w:rsidR="00B35FD5">
        <w:t xml:space="preserve">new </w:t>
      </w:r>
      <w:r>
        <w:t>MEDIN Standard</w:t>
      </w:r>
      <w:r w:rsidR="00B35FD5">
        <w:t>,</w:t>
      </w:r>
      <w:r>
        <w:t xml:space="preserve"> Version 3.1, implement</w:t>
      </w:r>
      <w:r w:rsidR="00B35FD5">
        <w:t>ing</w:t>
      </w:r>
      <w:r>
        <w:t xml:space="preserve"> google dataset search plus a number of </w:t>
      </w:r>
      <w:r w:rsidR="00B35FD5">
        <w:t xml:space="preserve">improvements </w:t>
      </w:r>
      <w:r>
        <w:t xml:space="preserve">suggested by user feedback to </w:t>
      </w:r>
      <w:r w:rsidR="00B35FD5">
        <w:t xml:space="preserve">make </w:t>
      </w:r>
      <w:r>
        <w:t>the portal</w:t>
      </w:r>
      <w:r w:rsidR="00B35FD5">
        <w:t xml:space="preserve"> easier to use</w:t>
      </w:r>
      <w:r>
        <w:t xml:space="preserve">. The developer started the work towards the end of this </w:t>
      </w:r>
      <w:r w:rsidR="00B35FD5">
        <w:t>financial year, slightly later than planned</w:t>
      </w:r>
      <w:r w:rsidR="0043775C">
        <w:t xml:space="preserve">, </w:t>
      </w:r>
      <w:r>
        <w:t>and will be completed by</w:t>
      </w:r>
      <w:r w:rsidR="00B35FD5">
        <w:t xml:space="preserve"> the</w:t>
      </w:r>
      <w:r>
        <w:t xml:space="preserve"> end of June 2021.</w:t>
      </w:r>
    </w:p>
    <w:p w14:paraId="439C0441" w14:textId="77777777" w:rsidR="004524F2" w:rsidRDefault="004524F2" w:rsidP="004524F2">
      <w:pPr>
        <w:pStyle w:val="Heading2"/>
      </w:pPr>
      <w:r>
        <w:t>Helping our users</w:t>
      </w:r>
    </w:p>
    <w:p w14:paraId="535C1365" w14:textId="5B57E82C" w:rsidR="004524F2" w:rsidRDefault="004524F2" w:rsidP="004524F2">
      <w:r w:rsidRPr="003D2960">
        <w:t xml:space="preserve">The MEDIN Metadata Helpdesk at DASSH received </w:t>
      </w:r>
      <w:r>
        <w:t>44</w:t>
      </w:r>
      <w:r w:rsidRPr="003D2960">
        <w:t xml:space="preserve"> requests for assistance during </w:t>
      </w:r>
      <w:r w:rsidR="0043775C">
        <w:t>the year</w:t>
      </w:r>
      <w:r>
        <w:t xml:space="preserve"> </w:t>
      </w:r>
      <w:r w:rsidRPr="003D2960">
        <w:t xml:space="preserve">with a total of </w:t>
      </w:r>
      <w:r>
        <w:t>210</w:t>
      </w:r>
      <w:r w:rsidRPr="003D2960">
        <w:t xml:space="preserve"> follow</w:t>
      </w:r>
      <w:r>
        <w:t>-</w:t>
      </w:r>
      <w:r w:rsidRPr="003D2960">
        <w:t>up e</w:t>
      </w:r>
      <w:r>
        <w:t>-</w:t>
      </w:r>
      <w:r w:rsidRPr="003D2960">
        <w:t>mail correspondences. These are requests handled by phone or email to help metadata suppliers having technical difficulties generating their metadata files.</w:t>
      </w:r>
      <w:r>
        <w:br w:type="page"/>
      </w:r>
    </w:p>
    <w:p w14:paraId="64E5B7F4" w14:textId="26C31B7C" w:rsidR="00916CF2" w:rsidRDefault="00916CF2"/>
    <w:p w14:paraId="5BCEEF85" w14:textId="77777777" w:rsidR="006360C0" w:rsidRDefault="00916CF2" w:rsidP="006360C0">
      <w:r>
        <w:rPr>
          <w:rFonts w:eastAsia="Times New Roman"/>
          <w:noProof/>
          <w:lang w:eastAsia="en-GB"/>
        </w:rPr>
        <w:drawing>
          <wp:inline distT="0" distB="0" distL="0" distR="0" wp14:anchorId="055B86C6" wp14:editId="234E1965">
            <wp:extent cx="6600825" cy="1885950"/>
            <wp:effectExtent l="38100" t="38100" r="47625" b="5715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786FAFEA" w14:textId="77777777" w:rsidR="00156DD5" w:rsidRDefault="00156DD5" w:rsidP="00156DD5">
      <w:pPr>
        <w:pStyle w:val="ListParagraph"/>
        <w:ind w:left="0" w:right="454"/>
        <w:rPr>
          <w:rFonts w:cs="Arial"/>
        </w:rPr>
      </w:pPr>
      <w:r>
        <w:rPr>
          <w:rFonts w:cs="Arial"/>
        </w:rPr>
        <w:t>The UK marine environment is a small part of an ever-changing, global system, that crosses national boundaries and influences (and is influenced by) conditions in distant regions. UK scientists and decision-makers rely on marine data from global databases, as well as national ones, in order to take a wider view of our marine environment. It is therefore crucial that UK marine data can easily flow to global databases and that our Data Archive Centres keep their systems linked in, aligned to and interoperable with international data management initiatives. The key international drivers for ensuring a transparent and efficient flow of marine data are shown below.</w:t>
      </w: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6095"/>
      </w:tblGrid>
      <w:tr w:rsidR="00156DD5" w:rsidRPr="00396A45" w14:paraId="1D6BA135" w14:textId="77777777" w:rsidTr="00A61304">
        <w:tc>
          <w:tcPr>
            <w:tcW w:w="4678" w:type="dxa"/>
            <w:tcBorders>
              <w:bottom w:val="double" w:sz="4" w:space="0" w:color="089BA2" w:themeColor="accent3" w:themeShade="BF"/>
            </w:tcBorders>
          </w:tcPr>
          <w:p w14:paraId="6FBCADB9" w14:textId="77777777" w:rsidR="00156DD5" w:rsidRPr="00396A45" w:rsidRDefault="00156DD5" w:rsidP="00A61304">
            <w:pPr>
              <w:rPr>
                <w:sz w:val="18"/>
                <w:szCs w:val="18"/>
                <w:lang w:eastAsia="en-GB"/>
              </w:rPr>
            </w:pPr>
            <w:r w:rsidRPr="00396A45">
              <w:rPr>
                <w:rFonts w:cs="Arial"/>
                <w:sz w:val="18"/>
                <w:szCs w:val="18"/>
              </w:rPr>
              <w:t>International</w:t>
            </w:r>
          </w:p>
        </w:tc>
        <w:tc>
          <w:tcPr>
            <w:tcW w:w="6095" w:type="dxa"/>
            <w:tcBorders>
              <w:bottom w:val="double" w:sz="4" w:space="0" w:color="089BA2" w:themeColor="accent3" w:themeShade="BF"/>
            </w:tcBorders>
          </w:tcPr>
          <w:p w14:paraId="34618D04" w14:textId="6766EF1B" w:rsidR="00156DD5" w:rsidRPr="00396A45" w:rsidRDefault="00156DD5" w:rsidP="00A61304">
            <w:pPr>
              <w:rPr>
                <w:rFonts w:cstheme="minorHAnsi"/>
                <w:b/>
                <w:bCs/>
                <w:sz w:val="18"/>
                <w:szCs w:val="18"/>
              </w:rPr>
            </w:pPr>
            <w:r w:rsidRPr="00396A45">
              <w:rPr>
                <w:rFonts w:cs="Arial"/>
                <w:sz w:val="18"/>
                <w:szCs w:val="18"/>
              </w:rPr>
              <w:t>European</w:t>
            </w:r>
          </w:p>
        </w:tc>
      </w:tr>
      <w:tr w:rsidR="00156DD5" w:rsidRPr="00396A45" w14:paraId="2594D30F" w14:textId="77777777" w:rsidTr="00A61304">
        <w:tc>
          <w:tcPr>
            <w:tcW w:w="4678" w:type="dxa"/>
            <w:tcBorders>
              <w:top w:val="double" w:sz="4" w:space="0" w:color="089BA2" w:themeColor="accent3" w:themeShade="BF"/>
            </w:tcBorders>
          </w:tcPr>
          <w:p w14:paraId="45141E0F" w14:textId="77777777" w:rsidR="00156DD5" w:rsidRPr="00396A45" w:rsidRDefault="00156DD5" w:rsidP="00A61304">
            <w:pPr>
              <w:rPr>
                <w:sz w:val="18"/>
                <w:szCs w:val="18"/>
                <w:lang w:eastAsia="en-GB"/>
              </w:rPr>
            </w:pPr>
            <w:r w:rsidRPr="00396A45">
              <w:rPr>
                <w:rFonts w:cs="Arial"/>
                <w:sz w:val="18"/>
                <w:szCs w:val="18"/>
              </w:rPr>
              <w:t>OSPAR Quality Status Reports</w:t>
            </w:r>
          </w:p>
        </w:tc>
        <w:tc>
          <w:tcPr>
            <w:tcW w:w="6095" w:type="dxa"/>
            <w:tcBorders>
              <w:top w:val="double" w:sz="4" w:space="0" w:color="089BA2" w:themeColor="accent3" w:themeShade="BF"/>
            </w:tcBorders>
          </w:tcPr>
          <w:p w14:paraId="2FD1FAF2" w14:textId="77777777" w:rsidR="00156DD5" w:rsidRPr="00396A45" w:rsidRDefault="00156DD5" w:rsidP="00A61304">
            <w:pPr>
              <w:rPr>
                <w:rFonts w:cstheme="minorHAnsi"/>
                <w:sz w:val="18"/>
                <w:szCs w:val="18"/>
              </w:rPr>
            </w:pPr>
            <w:r w:rsidRPr="00396A45">
              <w:rPr>
                <w:rFonts w:cs="Arial"/>
                <w:sz w:val="18"/>
                <w:szCs w:val="18"/>
              </w:rPr>
              <w:t>Marine Strategy Framework Directive</w:t>
            </w:r>
          </w:p>
        </w:tc>
      </w:tr>
      <w:tr w:rsidR="00156DD5" w:rsidRPr="00396A45" w14:paraId="264BB4B6" w14:textId="77777777" w:rsidTr="00A61304">
        <w:tc>
          <w:tcPr>
            <w:tcW w:w="4678" w:type="dxa"/>
          </w:tcPr>
          <w:p w14:paraId="5971A251" w14:textId="77777777" w:rsidR="00156DD5" w:rsidRPr="00396A45" w:rsidRDefault="00156DD5" w:rsidP="00A61304">
            <w:pPr>
              <w:rPr>
                <w:sz w:val="18"/>
                <w:szCs w:val="18"/>
                <w:lang w:eastAsia="en-GB"/>
              </w:rPr>
            </w:pPr>
            <w:r w:rsidRPr="00396A45">
              <w:rPr>
                <w:rFonts w:cs="Arial"/>
                <w:sz w:val="18"/>
                <w:szCs w:val="18"/>
              </w:rPr>
              <w:t>United Nations Convention on the Law of the Sea</w:t>
            </w:r>
          </w:p>
        </w:tc>
        <w:tc>
          <w:tcPr>
            <w:tcW w:w="6095" w:type="dxa"/>
          </w:tcPr>
          <w:p w14:paraId="776CDC48" w14:textId="77777777" w:rsidR="00156DD5" w:rsidRPr="00396A45" w:rsidRDefault="00156DD5" w:rsidP="00A61304">
            <w:pPr>
              <w:rPr>
                <w:rFonts w:cstheme="minorHAnsi"/>
                <w:sz w:val="18"/>
                <w:szCs w:val="18"/>
              </w:rPr>
            </w:pPr>
            <w:r w:rsidRPr="00396A45">
              <w:rPr>
                <w:sz w:val="18"/>
                <w:szCs w:val="18"/>
              </w:rPr>
              <w:t>Water Framework Directive Assessment of Ecological and Chemical Status.</w:t>
            </w:r>
          </w:p>
        </w:tc>
      </w:tr>
      <w:tr w:rsidR="00156DD5" w:rsidRPr="00396A45" w14:paraId="7FAB30D3" w14:textId="77777777" w:rsidTr="00A61304">
        <w:tc>
          <w:tcPr>
            <w:tcW w:w="4678" w:type="dxa"/>
          </w:tcPr>
          <w:p w14:paraId="41607C04" w14:textId="77777777" w:rsidR="00156DD5" w:rsidRPr="00396A45" w:rsidRDefault="00156DD5" w:rsidP="00A61304">
            <w:pPr>
              <w:rPr>
                <w:sz w:val="18"/>
                <w:szCs w:val="18"/>
                <w:lang w:eastAsia="en-GB"/>
              </w:rPr>
            </w:pPr>
            <w:r w:rsidRPr="00396A45">
              <w:rPr>
                <w:rFonts w:cs="Arial"/>
                <w:sz w:val="18"/>
                <w:szCs w:val="18"/>
              </w:rPr>
              <w:t xml:space="preserve">United Nations Sustainable Development Goals </w:t>
            </w:r>
          </w:p>
        </w:tc>
        <w:tc>
          <w:tcPr>
            <w:tcW w:w="6095" w:type="dxa"/>
          </w:tcPr>
          <w:p w14:paraId="2D826D63" w14:textId="77777777" w:rsidR="00156DD5" w:rsidRPr="00396A45" w:rsidRDefault="00156DD5" w:rsidP="00A61304">
            <w:pPr>
              <w:rPr>
                <w:rFonts w:cstheme="minorHAnsi"/>
                <w:sz w:val="18"/>
                <w:szCs w:val="18"/>
              </w:rPr>
            </w:pPr>
            <w:r w:rsidRPr="00396A45">
              <w:rPr>
                <w:sz w:val="18"/>
                <w:szCs w:val="18"/>
              </w:rPr>
              <w:t>Common Fisheries Policy Annual Assessment.</w:t>
            </w:r>
          </w:p>
        </w:tc>
      </w:tr>
      <w:tr w:rsidR="00156DD5" w:rsidRPr="00396A45" w14:paraId="2FD2167B" w14:textId="77777777" w:rsidTr="00A61304">
        <w:tc>
          <w:tcPr>
            <w:tcW w:w="4678" w:type="dxa"/>
            <w:vAlign w:val="center"/>
          </w:tcPr>
          <w:p w14:paraId="657D01E4" w14:textId="77777777" w:rsidR="00156DD5" w:rsidRPr="00396A45" w:rsidRDefault="00156DD5" w:rsidP="00A61304">
            <w:pPr>
              <w:rPr>
                <w:sz w:val="18"/>
                <w:szCs w:val="18"/>
                <w:lang w:eastAsia="en-GB"/>
              </w:rPr>
            </w:pPr>
          </w:p>
        </w:tc>
        <w:tc>
          <w:tcPr>
            <w:tcW w:w="6095" w:type="dxa"/>
          </w:tcPr>
          <w:p w14:paraId="07BE6FC2" w14:textId="77777777" w:rsidR="00156DD5" w:rsidRPr="00396A45" w:rsidRDefault="00156DD5" w:rsidP="00A61304">
            <w:pPr>
              <w:rPr>
                <w:rFonts w:cstheme="minorHAnsi"/>
                <w:sz w:val="18"/>
                <w:szCs w:val="18"/>
              </w:rPr>
            </w:pPr>
            <w:r w:rsidRPr="00396A45">
              <w:rPr>
                <w:sz w:val="18"/>
                <w:szCs w:val="18"/>
              </w:rPr>
              <w:t xml:space="preserve">Habitats and Birds Directive reporting. </w:t>
            </w:r>
          </w:p>
        </w:tc>
      </w:tr>
      <w:tr w:rsidR="00156DD5" w:rsidRPr="00396A45" w14:paraId="7D0C01AC" w14:textId="77777777" w:rsidTr="00A61304">
        <w:tc>
          <w:tcPr>
            <w:tcW w:w="4678" w:type="dxa"/>
            <w:vAlign w:val="center"/>
          </w:tcPr>
          <w:p w14:paraId="29B53E95" w14:textId="77777777" w:rsidR="00156DD5" w:rsidRPr="00396A45" w:rsidRDefault="00156DD5" w:rsidP="00A61304">
            <w:pPr>
              <w:rPr>
                <w:sz w:val="18"/>
                <w:szCs w:val="18"/>
                <w:lang w:eastAsia="en-GB"/>
              </w:rPr>
            </w:pPr>
          </w:p>
        </w:tc>
        <w:tc>
          <w:tcPr>
            <w:tcW w:w="6095" w:type="dxa"/>
          </w:tcPr>
          <w:p w14:paraId="292EA210" w14:textId="77777777" w:rsidR="00156DD5" w:rsidRPr="00396A45" w:rsidRDefault="00156DD5" w:rsidP="00A61304">
            <w:pPr>
              <w:rPr>
                <w:sz w:val="18"/>
                <w:szCs w:val="18"/>
                <w:lang w:eastAsia="en-GB"/>
              </w:rPr>
            </w:pPr>
            <w:r w:rsidRPr="00396A45">
              <w:rPr>
                <w:sz w:val="18"/>
                <w:szCs w:val="18"/>
              </w:rPr>
              <w:t xml:space="preserve">INSPIRE Directive compliance. </w:t>
            </w:r>
          </w:p>
        </w:tc>
      </w:tr>
      <w:tr w:rsidR="00156DD5" w:rsidRPr="00396A45" w14:paraId="14BAB2B9" w14:textId="77777777" w:rsidTr="00A61304">
        <w:tc>
          <w:tcPr>
            <w:tcW w:w="4678" w:type="dxa"/>
            <w:vAlign w:val="center"/>
          </w:tcPr>
          <w:p w14:paraId="50A916B9" w14:textId="77777777" w:rsidR="00156DD5" w:rsidRPr="00396A45" w:rsidRDefault="00156DD5" w:rsidP="00A61304">
            <w:pPr>
              <w:rPr>
                <w:sz w:val="18"/>
                <w:szCs w:val="18"/>
                <w:lang w:eastAsia="en-GB"/>
              </w:rPr>
            </w:pPr>
          </w:p>
        </w:tc>
        <w:tc>
          <w:tcPr>
            <w:tcW w:w="6095" w:type="dxa"/>
          </w:tcPr>
          <w:p w14:paraId="01D99F23" w14:textId="77777777" w:rsidR="00156DD5" w:rsidRPr="00396A45" w:rsidRDefault="00156DD5" w:rsidP="00A61304">
            <w:pPr>
              <w:rPr>
                <w:rFonts w:cstheme="minorHAnsi"/>
                <w:sz w:val="18"/>
                <w:szCs w:val="18"/>
              </w:rPr>
            </w:pPr>
            <w:r w:rsidRPr="00396A45">
              <w:rPr>
                <w:sz w:val="18"/>
                <w:szCs w:val="18"/>
              </w:rPr>
              <w:t>European Environment Agency State of the Environment Reporting.</w:t>
            </w:r>
          </w:p>
        </w:tc>
      </w:tr>
      <w:tr w:rsidR="00156DD5" w:rsidRPr="00396A45" w14:paraId="55602F29" w14:textId="77777777" w:rsidTr="00A61304">
        <w:tc>
          <w:tcPr>
            <w:tcW w:w="4678" w:type="dxa"/>
            <w:tcBorders>
              <w:bottom w:val="double" w:sz="4" w:space="0" w:color="009DD9" w:themeColor="accent2"/>
            </w:tcBorders>
            <w:shd w:val="clear" w:color="auto" w:fill="auto"/>
            <w:vAlign w:val="center"/>
          </w:tcPr>
          <w:p w14:paraId="59670EBE" w14:textId="77777777" w:rsidR="00156DD5" w:rsidRPr="00396A45" w:rsidRDefault="00156DD5" w:rsidP="00A61304">
            <w:pPr>
              <w:rPr>
                <w:rFonts w:cstheme="minorHAnsi"/>
                <w:sz w:val="18"/>
                <w:szCs w:val="18"/>
              </w:rPr>
            </w:pPr>
          </w:p>
        </w:tc>
        <w:tc>
          <w:tcPr>
            <w:tcW w:w="6095" w:type="dxa"/>
            <w:tcBorders>
              <w:bottom w:val="double" w:sz="4" w:space="0" w:color="009DD9" w:themeColor="accent2"/>
            </w:tcBorders>
            <w:shd w:val="clear" w:color="auto" w:fill="auto"/>
          </w:tcPr>
          <w:p w14:paraId="61AD6DF5" w14:textId="77777777" w:rsidR="00156DD5" w:rsidRPr="00396A45" w:rsidRDefault="00156DD5" w:rsidP="00A61304">
            <w:pPr>
              <w:rPr>
                <w:rFonts w:cstheme="minorHAnsi"/>
                <w:b/>
                <w:sz w:val="18"/>
                <w:szCs w:val="18"/>
              </w:rPr>
            </w:pPr>
            <w:r w:rsidRPr="00396A45">
              <w:rPr>
                <w:sz w:val="18"/>
                <w:szCs w:val="18"/>
              </w:rPr>
              <w:t>Copernicus Marine Environment Monitoring Service</w:t>
            </w:r>
          </w:p>
        </w:tc>
      </w:tr>
    </w:tbl>
    <w:p w14:paraId="081C8CD1" w14:textId="77777777" w:rsidR="00156DD5" w:rsidRDefault="00156DD5" w:rsidP="00613BBF"/>
    <w:p w14:paraId="4B0B0044" w14:textId="77777777" w:rsidR="00156DD5" w:rsidRPr="001473AE" w:rsidRDefault="00156DD5" w:rsidP="00156DD5">
      <w:pPr>
        <w:pStyle w:val="Heading2"/>
      </w:pPr>
      <w:r w:rsidRPr="001473AE">
        <w:t xml:space="preserve">We facilitate international knowledge exchange </w:t>
      </w:r>
    </w:p>
    <w:p w14:paraId="0015FFE8" w14:textId="65D47022" w:rsidR="00156DD5" w:rsidRDefault="00156DD5" w:rsidP="00156DD5">
      <w:pPr>
        <w:ind w:right="454"/>
        <w:rPr>
          <w:rFonts w:ascii="Calibri" w:hAnsi="Calibri" w:cs="Calibri"/>
          <w:color w:val="000000"/>
        </w:rPr>
      </w:pPr>
      <w:r w:rsidRPr="005F4676">
        <w:rPr>
          <w:rFonts w:ascii="Calibri" w:hAnsi="Calibri" w:cs="Calibri"/>
          <w:color w:val="000000"/>
        </w:rPr>
        <w:t xml:space="preserve">During </w:t>
      </w:r>
      <w:r w:rsidR="00B4773A">
        <w:rPr>
          <w:rFonts w:ascii="Calibri" w:hAnsi="Calibri" w:cs="Calibri"/>
          <w:color w:val="000000"/>
        </w:rPr>
        <w:t>2020-21</w:t>
      </w:r>
      <w:r w:rsidRPr="005F4676">
        <w:rPr>
          <w:rFonts w:ascii="Calibri" w:hAnsi="Calibri" w:cs="Calibri"/>
          <w:color w:val="000000"/>
        </w:rPr>
        <w:t xml:space="preserve"> we acted as a hub for promoting global developments in interoperability to the UK marine data community. We did this by facilitating knowledge exchange between UK experts and international initiatives such as the </w:t>
      </w:r>
      <w:r w:rsidRPr="005F4676">
        <w:rPr>
          <w:rFonts w:ascii="Calibri" w:hAnsi="Calibri" w:cs="Calibri"/>
          <w:b/>
          <w:color w:val="000000"/>
        </w:rPr>
        <w:t>International Council for the Exploration of the Sea</w:t>
      </w:r>
      <w:r w:rsidRPr="005F4676">
        <w:rPr>
          <w:rFonts w:ascii="Calibri" w:hAnsi="Calibri" w:cs="Calibri"/>
          <w:color w:val="000000"/>
        </w:rPr>
        <w:t xml:space="preserve"> (ICES) Data and Information Group,</w:t>
      </w:r>
      <w:r w:rsidR="00B4773A">
        <w:rPr>
          <w:rFonts w:ascii="Calibri" w:hAnsi="Calibri" w:cs="Calibri"/>
          <w:color w:val="000000"/>
        </w:rPr>
        <w:t xml:space="preserve"> and</w:t>
      </w:r>
      <w:r w:rsidRPr="005F4676">
        <w:rPr>
          <w:rFonts w:ascii="Calibri" w:hAnsi="Calibri" w:cs="Calibri"/>
          <w:color w:val="000000"/>
        </w:rPr>
        <w:t xml:space="preserve"> the </w:t>
      </w:r>
      <w:r w:rsidRPr="005F4676">
        <w:rPr>
          <w:rFonts w:ascii="Calibri" w:hAnsi="Calibri" w:cs="Calibri"/>
          <w:b/>
          <w:color w:val="000000"/>
        </w:rPr>
        <w:t>Intergovernmental Oceanographic Commission’s</w:t>
      </w:r>
      <w:r w:rsidRPr="005F4676">
        <w:rPr>
          <w:rFonts w:ascii="Calibri" w:hAnsi="Calibri" w:cs="Calibri"/>
          <w:color w:val="000000"/>
        </w:rPr>
        <w:t xml:space="preserve"> (IOC’s) International Oceanographic Data and Information Exchange (IODE). </w:t>
      </w:r>
    </w:p>
    <w:p w14:paraId="21DEB06E" w14:textId="77826AB3" w:rsidR="00A73418" w:rsidRPr="005F4676" w:rsidRDefault="00A73418" w:rsidP="00156DD5">
      <w:pPr>
        <w:ind w:right="454"/>
        <w:rPr>
          <w:rFonts w:ascii="Calibri" w:hAnsi="Calibri" w:cs="Calibri"/>
          <w:color w:val="000000"/>
        </w:rPr>
      </w:pPr>
      <w:r>
        <w:rPr>
          <w:rFonts w:ascii="Calibri" w:hAnsi="Calibri" w:cs="Calibri"/>
          <w:color w:val="000000"/>
        </w:rPr>
        <w:t>Significant</w:t>
      </w:r>
      <w:r w:rsidR="00B230AA">
        <w:rPr>
          <w:rFonts w:ascii="Calibri" w:hAnsi="Calibri" w:cs="Calibri"/>
          <w:color w:val="000000"/>
        </w:rPr>
        <w:t>ly,</w:t>
      </w:r>
      <w:r>
        <w:rPr>
          <w:rFonts w:ascii="Calibri" w:hAnsi="Calibri" w:cs="Calibri"/>
          <w:color w:val="000000"/>
        </w:rPr>
        <w:t xml:space="preserve"> this year, MEDIN coordinated a</w:t>
      </w:r>
      <w:r w:rsidR="009833FB">
        <w:rPr>
          <w:rFonts w:ascii="Calibri" w:hAnsi="Calibri" w:cs="Calibri"/>
          <w:color w:val="000000"/>
        </w:rPr>
        <w:t xml:space="preserve"> </w:t>
      </w:r>
      <w:r>
        <w:rPr>
          <w:rFonts w:ascii="Calibri" w:hAnsi="Calibri" w:cs="Calibri"/>
          <w:color w:val="000000"/>
        </w:rPr>
        <w:t>review of ICES data guidelines</w:t>
      </w:r>
      <w:r w:rsidR="009833FB">
        <w:rPr>
          <w:rFonts w:ascii="Calibri" w:hAnsi="Calibri" w:cs="Calibri"/>
          <w:color w:val="000000"/>
        </w:rPr>
        <w:t xml:space="preserve">, engaging a range of international </w:t>
      </w:r>
      <w:r w:rsidR="005B78F5">
        <w:rPr>
          <w:rFonts w:ascii="Calibri" w:hAnsi="Calibri" w:cs="Calibri"/>
          <w:color w:val="000000"/>
        </w:rPr>
        <w:t>experts</w:t>
      </w:r>
      <w:r w:rsidR="009833FB">
        <w:rPr>
          <w:rFonts w:ascii="Calibri" w:hAnsi="Calibri" w:cs="Calibri"/>
          <w:color w:val="000000"/>
        </w:rPr>
        <w:t xml:space="preserve"> from across many ICES working groups</w:t>
      </w:r>
      <w:r w:rsidR="005B78F5">
        <w:rPr>
          <w:rFonts w:ascii="Calibri" w:hAnsi="Calibri" w:cs="Calibri"/>
          <w:color w:val="000000"/>
        </w:rPr>
        <w:t xml:space="preserve"> to support the activity</w:t>
      </w:r>
      <w:r w:rsidR="009833FB">
        <w:rPr>
          <w:rFonts w:ascii="Calibri" w:hAnsi="Calibri" w:cs="Calibri"/>
          <w:color w:val="000000"/>
        </w:rPr>
        <w:t>. Th</w:t>
      </w:r>
      <w:r w:rsidR="005B78F5">
        <w:rPr>
          <w:rFonts w:ascii="Calibri" w:hAnsi="Calibri" w:cs="Calibri"/>
          <w:color w:val="000000"/>
        </w:rPr>
        <w:t>e</w:t>
      </w:r>
      <w:r w:rsidR="009833FB">
        <w:rPr>
          <w:rFonts w:ascii="Calibri" w:hAnsi="Calibri" w:cs="Calibri"/>
          <w:color w:val="000000"/>
        </w:rPr>
        <w:t xml:space="preserve"> suite of 13 </w:t>
      </w:r>
      <w:r w:rsidR="005B78F5">
        <w:rPr>
          <w:rFonts w:ascii="Calibri" w:hAnsi="Calibri" w:cs="Calibri"/>
          <w:color w:val="000000"/>
        </w:rPr>
        <w:t xml:space="preserve">ICES data </w:t>
      </w:r>
      <w:r w:rsidR="009833FB">
        <w:rPr>
          <w:rFonts w:ascii="Calibri" w:hAnsi="Calibri" w:cs="Calibri"/>
          <w:color w:val="000000"/>
        </w:rPr>
        <w:t>guidelines</w:t>
      </w:r>
      <w:r w:rsidR="005B78F5">
        <w:rPr>
          <w:rFonts w:ascii="Calibri" w:hAnsi="Calibri" w:cs="Calibri"/>
          <w:color w:val="000000"/>
        </w:rPr>
        <w:t xml:space="preserve"> </w:t>
      </w:r>
      <w:r w:rsidR="009833FB">
        <w:rPr>
          <w:rFonts w:ascii="Calibri" w:hAnsi="Calibri" w:cs="Calibri"/>
          <w:color w:val="000000"/>
        </w:rPr>
        <w:t xml:space="preserve">had not </w:t>
      </w:r>
      <w:r w:rsidR="005B78F5">
        <w:rPr>
          <w:rFonts w:ascii="Calibri" w:hAnsi="Calibri" w:cs="Calibri"/>
          <w:color w:val="000000"/>
        </w:rPr>
        <w:t xml:space="preserve">previously been </w:t>
      </w:r>
      <w:r w:rsidR="009833FB">
        <w:rPr>
          <w:rFonts w:ascii="Calibri" w:hAnsi="Calibri" w:cs="Calibri"/>
          <w:color w:val="000000"/>
        </w:rPr>
        <w:t>updated for over a decade</w:t>
      </w:r>
      <w:r w:rsidR="005B78F5">
        <w:rPr>
          <w:rFonts w:ascii="Calibri" w:hAnsi="Calibri" w:cs="Calibri"/>
          <w:color w:val="000000"/>
        </w:rPr>
        <w:t xml:space="preserve"> and the ICES Data and Information Group welcomed MEDIN’s intervention to improve the quality of data submitted to the ICES data centre</w:t>
      </w:r>
      <w:r>
        <w:rPr>
          <w:rFonts w:ascii="Calibri" w:hAnsi="Calibri" w:cs="Calibri"/>
          <w:color w:val="000000"/>
        </w:rPr>
        <w:t>.</w:t>
      </w:r>
      <w:r w:rsidR="005B78F5">
        <w:rPr>
          <w:rFonts w:ascii="Calibri" w:hAnsi="Calibri" w:cs="Calibri"/>
          <w:color w:val="000000"/>
        </w:rPr>
        <w:t xml:space="preserve"> </w:t>
      </w:r>
    </w:p>
    <w:p w14:paraId="0C9817BB" w14:textId="77777777" w:rsidR="00156DD5" w:rsidRDefault="00156DD5" w:rsidP="00156DD5">
      <w:pPr>
        <w:pStyle w:val="Heading2"/>
      </w:pPr>
      <w:r>
        <w:t>We deliver data to international systems</w:t>
      </w:r>
    </w:p>
    <w:p w14:paraId="41D30A85" w14:textId="58A8FBE5" w:rsidR="00156DD5" w:rsidRDefault="00156DD5" w:rsidP="00156DD5">
      <w:pPr>
        <w:pStyle w:val="ListParagraph"/>
        <w:ind w:left="0" w:right="454"/>
        <w:rPr>
          <w:rFonts w:cs="Arial"/>
        </w:rPr>
      </w:pPr>
      <w:r>
        <w:rPr>
          <w:rFonts w:cs="Arial"/>
        </w:rPr>
        <w:t xml:space="preserve">We deliver near real-time temperature and salinity data to the </w:t>
      </w:r>
      <w:r w:rsidRPr="00196E0C">
        <w:rPr>
          <w:rFonts w:cs="Arial"/>
          <w:b/>
        </w:rPr>
        <w:t>World Meteorological Organisation</w:t>
      </w:r>
      <w:r>
        <w:rPr>
          <w:rFonts w:cs="Arial"/>
        </w:rPr>
        <w:t xml:space="preserve">’s Global Telecommunication System (GTS) on behalf of our partners. These data are critical for ocean, climate and meteorological forecasting. This year we transferred 61 of these datasets from Fisheries Research Vessel Scotia to the GTS, significantly fewer than previous years due to decreased survey activity associated with the global pandemic. This data flow </w:t>
      </w:r>
      <w:r w:rsidR="00A73418">
        <w:rPr>
          <w:rFonts w:cs="Arial"/>
        </w:rPr>
        <w:t>is</w:t>
      </w:r>
      <w:r>
        <w:rPr>
          <w:rFonts w:cs="Arial"/>
        </w:rPr>
        <w:t xml:space="preserve"> an ongoing service that MEDIN </w:t>
      </w:r>
      <w:r w:rsidR="00A73418">
        <w:rPr>
          <w:rFonts w:cs="Arial"/>
        </w:rPr>
        <w:t xml:space="preserve">has </w:t>
      </w:r>
      <w:r>
        <w:rPr>
          <w:rFonts w:cs="Arial"/>
        </w:rPr>
        <w:t xml:space="preserve">provided for Marine Scotland for over a decade. </w:t>
      </w:r>
    </w:p>
    <w:p w14:paraId="584762E3" w14:textId="77777777" w:rsidR="00156DD5" w:rsidRDefault="00156DD5" w:rsidP="00156DD5">
      <w:pPr>
        <w:pStyle w:val="ListParagraph"/>
        <w:ind w:left="0" w:right="454"/>
        <w:rPr>
          <w:rFonts w:cs="Arial"/>
        </w:rPr>
      </w:pPr>
    </w:p>
    <w:p w14:paraId="45A97EBF" w14:textId="3149E9ED" w:rsidR="00156DD5" w:rsidRDefault="00156DD5" w:rsidP="00156DD5">
      <w:pPr>
        <w:pStyle w:val="ListParagraph"/>
        <w:ind w:left="0" w:right="454"/>
        <w:rPr>
          <w:rFonts w:cs="Arial"/>
        </w:rPr>
      </w:pPr>
      <w:r>
        <w:rPr>
          <w:rFonts w:cs="Arial"/>
        </w:rPr>
        <w:t xml:space="preserve">Our Data Archive Centres deliver their data holdings to international databases to support science, policy and sustainable development of our seas. For example, </w:t>
      </w:r>
      <w:r w:rsidR="00C956E6">
        <w:rPr>
          <w:rFonts w:cs="Arial"/>
        </w:rPr>
        <w:t xml:space="preserve">MEDIN Data Archive Centres (BODC, Cefas and Marine </w:t>
      </w:r>
      <w:r w:rsidR="00C956E6">
        <w:rPr>
          <w:rFonts w:cs="Arial"/>
        </w:rPr>
        <w:lastRenderedPageBreak/>
        <w:t xml:space="preserve">Scotland) </w:t>
      </w:r>
      <w:r>
        <w:rPr>
          <w:rFonts w:cs="Arial"/>
        </w:rPr>
        <w:t xml:space="preserve">deliver marine contaminants </w:t>
      </w:r>
      <w:r w:rsidR="00C956E6">
        <w:rPr>
          <w:rFonts w:cs="Arial"/>
        </w:rPr>
        <w:t xml:space="preserve">and fisheries </w:t>
      </w:r>
      <w:r>
        <w:rPr>
          <w:rFonts w:cs="Arial"/>
        </w:rPr>
        <w:t xml:space="preserve">data to the </w:t>
      </w:r>
      <w:r w:rsidRPr="005F4676">
        <w:rPr>
          <w:rFonts w:ascii="Calibri" w:hAnsi="Calibri" w:cs="Calibri"/>
          <w:b/>
          <w:color w:val="000000"/>
        </w:rPr>
        <w:t>International Council for the Exploration of the Sea</w:t>
      </w:r>
      <w:r w:rsidR="00C956E6">
        <w:rPr>
          <w:rFonts w:ascii="Calibri" w:hAnsi="Calibri" w:cs="Calibri"/>
          <w:b/>
          <w:color w:val="000000"/>
        </w:rPr>
        <w:t xml:space="preserve"> (ICES)</w:t>
      </w:r>
      <w:r>
        <w:rPr>
          <w:rFonts w:ascii="Calibri" w:hAnsi="Calibri" w:cs="Calibri"/>
          <w:b/>
          <w:color w:val="000000"/>
        </w:rPr>
        <w:t xml:space="preserve">. </w:t>
      </w:r>
      <w:r w:rsidR="00C956E6">
        <w:rPr>
          <w:rFonts w:ascii="Calibri" w:hAnsi="Calibri" w:cs="Calibri"/>
          <w:b/>
          <w:color w:val="000000"/>
        </w:rPr>
        <w:t xml:space="preserve"> </w:t>
      </w:r>
      <w:r w:rsidRPr="000A048C">
        <w:rPr>
          <w:rFonts w:ascii="Calibri" w:hAnsi="Calibri" w:cs="Calibri"/>
          <w:color w:val="000000"/>
        </w:rPr>
        <w:t>These data</w:t>
      </w:r>
      <w:r>
        <w:rPr>
          <w:rFonts w:ascii="Calibri" w:hAnsi="Calibri" w:cs="Calibri"/>
          <w:b/>
          <w:color w:val="000000"/>
        </w:rPr>
        <w:t xml:space="preserve"> </w:t>
      </w:r>
      <w:r w:rsidRPr="000A048C">
        <w:rPr>
          <w:rFonts w:ascii="Calibri" w:hAnsi="Calibri" w:cs="Calibri"/>
          <w:color w:val="000000"/>
        </w:rPr>
        <w:t>are used to make</w:t>
      </w:r>
      <w:r>
        <w:rPr>
          <w:rFonts w:cs="Arial"/>
        </w:rPr>
        <w:t xml:space="preserve"> regional assessments of the state of our seas by OSPAR. </w:t>
      </w:r>
      <w:r w:rsidR="00C956E6">
        <w:rPr>
          <w:rFonts w:cs="Arial"/>
        </w:rPr>
        <w:t xml:space="preserve">Similarly, </w:t>
      </w:r>
      <w:r>
        <w:rPr>
          <w:rFonts w:cs="Arial"/>
        </w:rPr>
        <w:t xml:space="preserve">DASSH, the MEDIN Data Archive Centre for marine species and habitats, is the UK node for submitting data to the Ocean Biodiversity Information System (OBIS), part of </w:t>
      </w:r>
      <w:r w:rsidRPr="005F4676">
        <w:rPr>
          <w:rFonts w:ascii="Calibri" w:hAnsi="Calibri" w:cs="Calibri"/>
          <w:b/>
          <w:color w:val="000000"/>
        </w:rPr>
        <w:t>Intergovernmental Oceanographic Commission’s</w:t>
      </w:r>
      <w:r w:rsidRPr="005F4676">
        <w:rPr>
          <w:rFonts w:ascii="Calibri" w:hAnsi="Calibri" w:cs="Calibri"/>
          <w:color w:val="000000"/>
        </w:rPr>
        <w:t xml:space="preserve"> (IOC’s) International Oceanographic Data and Information Exchange (IODE).</w:t>
      </w:r>
    </w:p>
    <w:p w14:paraId="12704EE4" w14:textId="15162B80" w:rsidR="00156DD5" w:rsidRDefault="00156DD5" w:rsidP="00156DD5">
      <w:pPr>
        <w:pStyle w:val="Heading2"/>
      </w:pPr>
      <w:r>
        <w:t xml:space="preserve">We </w:t>
      </w:r>
      <w:r w:rsidR="00535B5A">
        <w:t>reach global audience</w:t>
      </w:r>
      <w:r w:rsidR="008909E3">
        <w:t>s</w:t>
      </w:r>
      <w:r>
        <w:t xml:space="preserve"> </w:t>
      </w:r>
    </w:p>
    <w:p w14:paraId="798F2AB6" w14:textId="0D8D2A33" w:rsidR="00156DD5" w:rsidRDefault="00156DD5" w:rsidP="00156DD5">
      <w:pPr>
        <w:pStyle w:val="ListParagraph"/>
        <w:ind w:left="0" w:right="454"/>
        <w:rPr>
          <w:rFonts w:cs="Arial"/>
        </w:rPr>
      </w:pPr>
      <w:r>
        <w:rPr>
          <w:rFonts w:cs="Arial"/>
        </w:rPr>
        <w:t xml:space="preserve">Our website contains a wealth of information about a wide range of international marine data-sharing initiatives. </w:t>
      </w:r>
      <w:r w:rsidR="00C54D24">
        <w:rPr>
          <w:rFonts w:cs="Arial"/>
        </w:rPr>
        <w:t>This year we in</w:t>
      </w:r>
      <w:r w:rsidR="003645A1">
        <w:rPr>
          <w:rFonts w:cs="Arial"/>
        </w:rPr>
        <w:t>stigated</w:t>
      </w:r>
      <w:r w:rsidR="00C54D24">
        <w:rPr>
          <w:rFonts w:cs="Arial"/>
        </w:rPr>
        <w:t xml:space="preserve"> a step-change in how we </w:t>
      </w:r>
      <w:r w:rsidR="006312D3">
        <w:rPr>
          <w:rFonts w:cs="Arial"/>
        </w:rPr>
        <w:t xml:space="preserve">reach global audiences by partnering with the </w:t>
      </w:r>
      <w:r w:rsidR="006312D3" w:rsidRPr="006312D3">
        <w:rPr>
          <w:rFonts w:ascii="Calibri" w:hAnsi="Calibri" w:cs="Calibri"/>
          <w:color w:val="000000"/>
        </w:rPr>
        <w:t>Intergovernmental Oceanographic Commission’s</w:t>
      </w:r>
      <w:r w:rsidR="006312D3" w:rsidRPr="005F4676">
        <w:rPr>
          <w:rFonts w:ascii="Calibri" w:hAnsi="Calibri" w:cs="Calibri"/>
          <w:color w:val="000000"/>
        </w:rPr>
        <w:t xml:space="preserve"> </w:t>
      </w:r>
      <w:r w:rsidR="006312D3" w:rsidRPr="006312D3">
        <w:rPr>
          <w:rFonts w:cs="Arial"/>
          <w:b/>
        </w:rPr>
        <w:t>Ocean Teacher Global Academy</w:t>
      </w:r>
      <w:r w:rsidR="006312D3">
        <w:rPr>
          <w:rFonts w:cs="Arial"/>
        </w:rPr>
        <w:t xml:space="preserve"> to develop online training resources.</w:t>
      </w:r>
      <w:r w:rsidR="000F3C11">
        <w:rPr>
          <w:rFonts w:cs="Arial"/>
        </w:rPr>
        <w:t xml:space="preserve"> Our new training course</w:t>
      </w:r>
      <w:r w:rsidR="003645A1">
        <w:rPr>
          <w:rFonts w:cs="Arial"/>
        </w:rPr>
        <w:t>, held in conjunction with our partner OceanWise,</w:t>
      </w:r>
      <w:r w:rsidR="000F3C11">
        <w:rPr>
          <w:rFonts w:cs="Arial"/>
        </w:rPr>
        <w:t xml:space="preserve"> will be available for anyone around the world to attend. </w:t>
      </w:r>
      <w:r w:rsidR="003645A1">
        <w:rPr>
          <w:rFonts w:cs="Arial"/>
        </w:rPr>
        <w:t xml:space="preserve">The first course </w:t>
      </w:r>
      <w:r w:rsidR="005E7939">
        <w:rPr>
          <w:rFonts w:cs="Arial"/>
        </w:rPr>
        <w:t>ran</w:t>
      </w:r>
      <w:r w:rsidR="003645A1">
        <w:rPr>
          <w:rFonts w:cs="Arial"/>
        </w:rPr>
        <w:t xml:space="preserve"> in April 2021.</w:t>
      </w:r>
    </w:p>
    <w:p w14:paraId="5C8B406D" w14:textId="77777777" w:rsidR="003645A1" w:rsidRDefault="003645A1" w:rsidP="00156DD5">
      <w:pPr>
        <w:pStyle w:val="ListParagraph"/>
        <w:ind w:left="0" w:right="454"/>
        <w:rPr>
          <w:rFonts w:cs="Arial"/>
        </w:rPr>
      </w:pPr>
    </w:p>
    <w:p w14:paraId="12A527BD" w14:textId="01EFF10F" w:rsidR="003645A1" w:rsidRDefault="003645A1" w:rsidP="003645A1">
      <w:pPr>
        <w:pStyle w:val="ListParagraph"/>
        <w:ind w:left="0" w:right="454"/>
        <w:jc w:val="center"/>
        <w:rPr>
          <w:rFonts w:cs="Arial"/>
        </w:rPr>
      </w:pPr>
      <w:r>
        <w:rPr>
          <w:noProof/>
        </w:rPr>
        <w:drawing>
          <wp:inline distT="0" distB="0" distL="0" distR="0" wp14:anchorId="4EB333FB" wp14:editId="138FE452">
            <wp:extent cx="3080342" cy="1771528"/>
            <wp:effectExtent l="0" t="0" r="6350" b="635"/>
            <wp:docPr id="28" name="Picture 28" descr="https://classroom.oceanteacher.org/pluginfile.php/34433/course/overviewfiles/ic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assroom.oceanteacher.org/pluginfile.php/34433/course/overviewfiles/icon2.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29290" cy="1799678"/>
                    </a:xfrm>
                    <a:prstGeom prst="rect">
                      <a:avLst/>
                    </a:prstGeom>
                    <a:noFill/>
                    <a:ln>
                      <a:noFill/>
                    </a:ln>
                  </pic:spPr>
                </pic:pic>
              </a:graphicData>
            </a:graphic>
          </wp:inline>
        </w:drawing>
      </w:r>
      <w:r>
        <w:rPr>
          <w:noProof/>
        </w:rPr>
        <w:drawing>
          <wp:inline distT="0" distB="0" distL="0" distR="0" wp14:anchorId="6CFF71B0" wp14:editId="34DD9257">
            <wp:extent cx="3048000" cy="1524000"/>
            <wp:effectExtent l="0" t="0" r="0" b="0"/>
            <wp:docPr id="30" name="Picture 30" descr="OceanTeacher Global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eanTeacher Global Academ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54864" cy="1527432"/>
                    </a:xfrm>
                    <a:prstGeom prst="rect">
                      <a:avLst/>
                    </a:prstGeom>
                    <a:noFill/>
                    <a:ln>
                      <a:noFill/>
                    </a:ln>
                  </pic:spPr>
                </pic:pic>
              </a:graphicData>
            </a:graphic>
          </wp:inline>
        </w:drawing>
      </w:r>
    </w:p>
    <w:p w14:paraId="3575674F" w14:textId="2648B395" w:rsidR="003645A1" w:rsidRDefault="003645A1" w:rsidP="00156DD5">
      <w:pPr>
        <w:pStyle w:val="ListParagraph"/>
        <w:ind w:left="0" w:right="454"/>
        <w:rPr>
          <w:rFonts w:cs="Arial"/>
        </w:rPr>
      </w:pPr>
    </w:p>
    <w:p w14:paraId="668DCCCD" w14:textId="20F81D0A" w:rsidR="00794565" w:rsidRDefault="00F23A74" w:rsidP="00F23A74">
      <w:pPr>
        <w:pStyle w:val="Heading2"/>
      </w:pPr>
      <w:r w:rsidRPr="00557D34">
        <w:t xml:space="preserve">Challenges and </w:t>
      </w:r>
      <w:r>
        <w:t>O</w:t>
      </w:r>
      <w:r w:rsidRPr="00557D34">
        <w:t>pportunities</w:t>
      </w:r>
    </w:p>
    <w:p w14:paraId="697ECA58" w14:textId="293BFFD2" w:rsidR="00F23A74" w:rsidRPr="00766223" w:rsidRDefault="00754B2B" w:rsidP="00BB334E">
      <w:pPr>
        <w:pStyle w:val="Para"/>
        <w:ind w:left="0"/>
        <w:rPr>
          <w:rFonts w:asciiTheme="minorHAnsi" w:hAnsiTheme="minorHAnsi" w:cstheme="minorHAnsi"/>
        </w:rPr>
      </w:pPr>
      <w:r w:rsidRPr="005E7939">
        <w:rPr>
          <w:rFonts w:asciiTheme="minorHAnsi" w:hAnsiTheme="minorHAnsi" w:cstheme="minorHAnsi"/>
        </w:rPr>
        <w:t xml:space="preserve">This year, we continued our </w:t>
      </w:r>
      <w:r w:rsidR="00BB4A0E" w:rsidRPr="00766223">
        <w:rPr>
          <w:rFonts w:asciiTheme="minorHAnsi" w:hAnsiTheme="minorHAnsi" w:cstheme="minorHAnsi"/>
        </w:rPr>
        <w:t>collaboration with the Organisation for Economic Cooperation and Development (OECD) an</w:t>
      </w:r>
      <w:r w:rsidR="00BB4A0E" w:rsidRPr="005E7939">
        <w:rPr>
          <w:rFonts w:asciiTheme="minorHAnsi" w:hAnsiTheme="minorHAnsi" w:cstheme="minorHAnsi"/>
        </w:rPr>
        <w:t xml:space="preserve">d the Global Ocean Observing System (GOOS) to fill in gaps in our understanding of the value chains of marine data accessible from our Data Archive Centres. </w:t>
      </w:r>
      <w:r w:rsidR="00BB334E" w:rsidRPr="005E7939">
        <w:rPr>
          <w:rFonts w:asciiTheme="minorHAnsi" w:hAnsiTheme="minorHAnsi" w:cstheme="minorHAnsi"/>
        </w:rPr>
        <w:t xml:space="preserve">191 people responded to our survey, predominantly from users in the UK but also from a further 19 countries including Australia, Germany, Ireland, Italy and the United States. </w:t>
      </w:r>
      <w:r w:rsidR="00926D57" w:rsidRPr="005E7939">
        <w:rPr>
          <w:rFonts w:asciiTheme="minorHAnsi" w:hAnsiTheme="minorHAnsi" w:cstheme="minorHAnsi"/>
        </w:rPr>
        <w:t>Collaborating with OECD and GOOS has significantly raised MEDIN’s international profile.</w:t>
      </w:r>
      <w:r w:rsidR="005E7939" w:rsidRPr="005E7939">
        <w:rPr>
          <w:rFonts w:asciiTheme="minorHAnsi" w:hAnsiTheme="minorHAnsi" w:cstheme="minorHAnsi"/>
        </w:rPr>
        <w:t xml:space="preserve"> This work will conclude in summer 2021 with the release of paper entitled </w:t>
      </w:r>
      <w:r w:rsidR="00766223">
        <w:rPr>
          <w:rFonts w:asciiTheme="minorHAnsi" w:hAnsiTheme="minorHAnsi" w:cstheme="minorHAnsi"/>
        </w:rPr>
        <w:t>“</w:t>
      </w:r>
      <w:r w:rsidR="005E7939" w:rsidRPr="00C375CB">
        <w:rPr>
          <w:rFonts w:asciiTheme="minorHAnsi" w:hAnsiTheme="minorHAnsi" w:cstheme="minorHAnsi"/>
          <w:color w:val="000000"/>
        </w:rPr>
        <w:t>Value chains in public marine data: a UK case study</w:t>
      </w:r>
      <w:r w:rsidR="00766223">
        <w:rPr>
          <w:rFonts w:asciiTheme="minorHAnsi" w:hAnsiTheme="minorHAnsi" w:cstheme="minorHAnsi"/>
          <w:color w:val="000000"/>
        </w:rPr>
        <w:t>.</w:t>
      </w:r>
      <w:r w:rsidR="005E7939" w:rsidRPr="00C375CB">
        <w:rPr>
          <w:rFonts w:asciiTheme="minorHAnsi" w:hAnsiTheme="minorHAnsi" w:cstheme="minorHAnsi"/>
          <w:color w:val="000000"/>
        </w:rPr>
        <w:t xml:space="preserve"> A joint OECD STI Working Paper in collaboration with the UK Marine Environmental Data and Information Network (MEDIN) and the Global Ocean Observing System (GOOS) in the Intergovernmental Oceanographic Commission of UNESCO</w:t>
      </w:r>
      <w:r w:rsidR="00766223">
        <w:rPr>
          <w:rFonts w:asciiTheme="minorHAnsi" w:hAnsiTheme="minorHAnsi" w:cstheme="minorHAnsi"/>
          <w:color w:val="000000"/>
        </w:rPr>
        <w:t>”</w:t>
      </w:r>
      <w:r w:rsidR="005E7939" w:rsidRPr="00C375CB">
        <w:rPr>
          <w:rFonts w:asciiTheme="minorHAnsi" w:hAnsiTheme="minorHAnsi" w:cstheme="minorHAnsi"/>
          <w:color w:val="000000"/>
        </w:rPr>
        <w:t>.</w:t>
      </w:r>
      <w:r w:rsidR="005E7939" w:rsidRPr="005E7939">
        <w:rPr>
          <w:rFonts w:asciiTheme="minorHAnsi" w:hAnsiTheme="minorHAnsi" w:cstheme="minorHAnsi"/>
        </w:rPr>
        <w:t xml:space="preserve"> </w:t>
      </w:r>
    </w:p>
    <w:p w14:paraId="68F6C22A" w14:textId="77777777" w:rsidR="00794565" w:rsidRDefault="00794565" w:rsidP="00916CF2"/>
    <w:p w14:paraId="5D83C276" w14:textId="77777777" w:rsidR="00794565" w:rsidRDefault="00794565" w:rsidP="00916CF2"/>
    <w:p w14:paraId="22C816B7" w14:textId="77777777" w:rsidR="00794565" w:rsidRDefault="00794565" w:rsidP="00916CF2"/>
    <w:p w14:paraId="711C28E5" w14:textId="77777777" w:rsidR="00794565" w:rsidRDefault="00794565" w:rsidP="00916CF2"/>
    <w:p w14:paraId="6059BECB" w14:textId="77777777" w:rsidR="00794565" w:rsidRDefault="00794565" w:rsidP="00916CF2"/>
    <w:p w14:paraId="6DF95745" w14:textId="77777777" w:rsidR="00794565" w:rsidRDefault="00794565" w:rsidP="00916CF2"/>
    <w:p w14:paraId="1195F6FE" w14:textId="77777777" w:rsidR="00613BBF" w:rsidRDefault="00613BBF">
      <w:r>
        <w:br w:type="page"/>
      </w:r>
    </w:p>
    <w:p w14:paraId="41312ABE" w14:textId="77777777" w:rsidR="00794565" w:rsidRDefault="00794565" w:rsidP="00916CF2"/>
    <w:p w14:paraId="164184E8" w14:textId="77777777" w:rsidR="00916CF2" w:rsidRDefault="00D7104A">
      <w:r>
        <w:rPr>
          <w:rFonts w:eastAsia="Times New Roman"/>
          <w:noProof/>
          <w:lang w:eastAsia="en-GB"/>
        </w:rPr>
        <w:drawing>
          <wp:inline distT="0" distB="0" distL="0" distR="0" wp14:anchorId="06310BC4" wp14:editId="1FAF8970">
            <wp:extent cx="6600825" cy="1885950"/>
            <wp:effectExtent l="38100" t="19050" r="47625" b="5715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1B5769C3" w14:textId="77777777" w:rsidR="00205F77" w:rsidRDefault="00205F77" w:rsidP="00205F77">
      <w:pPr>
        <w:rPr>
          <w:rFonts w:ascii="Calibri" w:hAnsi="Calibri" w:cs="Calibri"/>
        </w:rPr>
      </w:pPr>
      <w:r>
        <w:rPr>
          <w:rFonts w:cs="Arial"/>
        </w:rPr>
        <w:t xml:space="preserve">Our users require access to a broad range of marine data services and products in addition to access to raw data that forms the core of MEDIN’s activities. </w:t>
      </w:r>
      <w:r>
        <w:rPr>
          <w:rFonts w:ascii="Calibri" w:hAnsi="Calibri" w:cs="Calibri"/>
        </w:rPr>
        <w:t xml:space="preserve">We work closely with UK marine data holders to encourage and help them deliver on their data sharing and publishing objectives. This includes the role of the Data Archive Centres in delivering data products and services. </w:t>
      </w:r>
    </w:p>
    <w:p w14:paraId="03813044" w14:textId="77777777" w:rsidR="00205F77" w:rsidRDefault="00205F77" w:rsidP="00205F77">
      <w:pPr>
        <w:pStyle w:val="Heading2"/>
        <w:rPr>
          <w:rFonts w:eastAsia="Times New Roman"/>
          <w:bdr w:val="none" w:sz="0" w:space="0" w:color="auto" w:frame="1"/>
          <w:lang w:eastAsia="en-GB"/>
        </w:rPr>
      </w:pPr>
      <w:r>
        <w:rPr>
          <w:rFonts w:eastAsia="Times New Roman"/>
          <w:bdr w:val="none" w:sz="0" w:space="0" w:color="auto" w:frame="1"/>
          <w:lang w:eastAsia="en-GB"/>
        </w:rPr>
        <w:t>We explore data management from new technology</w:t>
      </w:r>
    </w:p>
    <w:p w14:paraId="08F1DC4B" w14:textId="44F36F71" w:rsidR="00E377FD" w:rsidRDefault="00205F77" w:rsidP="00E377FD">
      <w:pPr>
        <w:shd w:val="clear" w:color="auto" w:fill="FFFFFF"/>
        <w:spacing w:after="0" w:line="240" w:lineRule="auto"/>
        <w:textAlignment w:val="baseline"/>
      </w:pPr>
      <w:r w:rsidRPr="00203018">
        <w:rPr>
          <w:rFonts w:cstheme="minorHAnsi"/>
        </w:rPr>
        <w:t xml:space="preserve">This year we </w:t>
      </w:r>
      <w:r>
        <w:rPr>
          <w:rFonts w:cstheme="minorHAnsi"/>
        </w:rPr>
        <w:t>fund</w:t>
      </w:r>
      <w:r w:rsidRPr="00203018">
        <w:rPr>
          <w:rFonts w:cstheme="minorHAnsi"/>
        </w:rPr>
        <w:t xml:space="preserve">ed </w:t>
      </w:r>
      <w:r w:rsidRPr="00203018">
        <w:rPr>
          <w:rFonts w:cstheme="minorHAnsi"/>
          <w:color w:val="201F1E"/>
          <w:bdr w:val="none" w:sz="0" w:space="0" w:color="auto" w:frame="1"/>
        </w:rPr>
        <w:t xml:space="preserve">two small projects </w:t>
      </w:r>
      <w:r>
        <w:rPr>
          <w:rFonts w:cstheme="minorHAnsi"/>
          <w:color w:val="201F1E"/>
          <w:bdr w:val="none" w:sz="0" w:space="0" w:color="auto" w:frame="1"/>
        </w:rPr>
        <w:t xml:space="preserve">to </w:t>
      </w:r>
      <w:r w:rsidRPr="00203018">
        <w:rPr>
          <w:rFonts w:cstheme="minorHAnsi"/>
          <w:color w:val="201F1E"/>
          <w:bdr w:val="none" w:sz="0" w:space="0" w:color="auto" w:frame="1"/>
        </w:rPr>
        <w:t xml:space="preserve">address data management issues associated with new and emerging marine technologies. </w:t>
      </w:r>
      <w:r w:rsidRPr="00203018">
        <w:rPr>
          <w:rFonts w:eastAsia="Times New Roman" w:cstheme="minorHAnsi"/>
          <w:color w:val="000000"/>
          <w:bdr w:val="none" w:sz="0" w:space="0" w:color="auto" w:frame="1"/>
          <w:lang w:eastAsia="en-GB"/>
        </w:rPr>
        <w:t>The first, led by DASSH, addresse</w:t>
      </w:r>
      <w:r>
        <w:rPr>
          <w:rFonts w:eastAsia="Times New Roman" w:cstheme="minorHAnsi"/>
          <w:color w:val="000000"/>
          <w:bdr w:val="none" w:sz="0" w:space="0" w:color="auto" w:frame="1"/>
          <w:lang w:eastAsia="en-GB"/>
        </w:rPr>
        <w:t>d</w:t>
      </w:r>
      <w:r w:rsidRPr="00203018">
        <w:rPr>
          <w:rFonts w:eastAsia="Times New Roman" w:cstheme="minorHAnsi"/>
          <w:color w:val="000000"/>
          <w:bdr w:val="none" w:sz="0" w:space="0" w:color="auto" w:frame="1"/>
          <w:lang w:eastAsia="en-GB"/>
        </w:rPr>
        <w:t xml:space="preserve"> archiving, discovering and accessing image and video data within the MEDIN framework</w:t>
      </w:r>
      <w:r w:rsidR="00C21C9E">
        <w:rPr>
          <w:rFonts w:eastAsia="Times New Roman" w:cstheme="minorHAnsi"/>
          <w:color w:val="000000"/>
          <w:bdr w:val="none" w:sz="0" w:space="0" w:color="auto" w:frame="1"/>
          <w:lang w:eastAsia="en-GB"/>
        </w:rPr>
        <w:t xml:space="preserve"> and led to the development of the </w:t>
      </w:r>
      <w:r w:rsidRPr="00203018">
        <w:rPr>
          <w:rFonts w:eastAsia="Times New Roman" w:cstheme="minorHAnsi"/>
          <w:color w:val="000000"/>
          <w:bdr w:val="none" w:sz="0" w:space="0" w:color="auto" w:frame="1"/>
          <w:lang w:eastAsia="en-GB"/>
        </w:rPr>
        <w:t xml:space="preserve">MEDIN Automated Image Management System </w:t>
      </w:r>
      <w:r w:rsidR="00C21C9E">
        <w:rPr>
          <w:rFonts w:eastAsia="Times New Roman" w:cstheme="minorHAnsi"/>
          <w:color w:val="000000"/>
          <w:bdr w:val="none" w:sz="0" w:space="0" w:color="auto" w:frame="1"/>
          <w:lang w:eastAsia="en-GB"/>
        </w:rPr>
        <w:t xml:space="preserve">(MAIMS). MAIMS </w:t>
      </w:r>
      <w:r>
        <w:rPr>
          <w:rFonts w:eastAsia="Times New Roman" w:cstheme="minorHAnsi"/>
          <w:color w:val="000000"/>
          <w:bdr w:val="none" w:sz="0" w:space="0" w:color="auto" w:frame="1"/>
          <w:lang w:eastAsia="en-GB"/>
        </w:rPr>
        <w:t>is</w:t>
      </w:r>
      <w:r w:rsidRPr="00203018">
        <w:rPr>
          <w:rFonts w:eastAsia="Times New Roman" w:cstheme="minorHAnsi"/>
          <w:color w:val="000000"/>
          <w:bdr w:val="none" w:sz="0" w:space="0" w:color="auto" w:frame="1"/>
          <w:lang w:eastAsia="en-GB"/>
        </w:rPr>
        <w:t xml:space="preserve"> a proof of concept, hosted on behalf of the UK marine community by DASSH</w:t>
      </w:r>
      <w:r w:rsidR="00E377FD">
        <w:rPr>
          <w:rFonts w:eastAsia="Times New Roman" w:cstheme="minorHAnsi"/>
          <w:color w:val="000000"/>
          <w:bdr w:val="none" w:sz="0" w:space="0" w:color="auto" w:frame="1"/>
          <w:lang w:eastAsia="en-GB"/>
        </w:rPr>
        <w:t>, the MEDIN Data Archive Centre for species and habitats</w:t>
      </w:r>
      <w:r w:rsidRPr="00203018">
        <w:rPr>
          <w:rFonts w:eastAsia="Times New Roman" w:cstheme="minorHAnsi"/>
          <w:color w:val="000000"/>
          <w:bdr w:val="none" w:sz="0" w:space="0" w:color="auto" w:frame="1"/>
          <w:lang w:eastAsia="en-GB"/>
        </w:rPr>
        <w:t xml:space="preserve">. </w:t>
      </w:r>
      <w:r w:rsidR="00E377FD">
        <w:rPr>
          <w:rFonts w:eastAsia="Times New Roman" w:cstheme="minorHAnsi"/>
          <w:color w:val="000000"/>
          <w:bdr w:val="none" w:sz="0" w:space="0" w:color="auto" w:frame="1"/>
          <w:lang w:eastAsia="en-GB"/>
        </w:rPr>
        <w:t xml:space="preserve">The goal was to provide </w:t>
      </w:r>
      <w:r>
        <w:t>an easy way to submit image</w:t>
      </w:r>
      <w:r w:rsidR="00C21C9E">
        <w:t xml:space="preserve"> datasets</w:t>
      </w:r>
      <w:r>
        <w:t xml:space="preserve"> to DASSH and for these imagery assets to be associated with </w:t>
      </w:r>
      <w:r w:rsidR="00E377FD">
        <w:t xml:space="preserve">accompanying </w:t>
      </w:r>
      <w:r>
        <w:t>species or habitat data</w:t>
      </w:r>
      <w:r w:rsidR="00E377FD">
        <w:t xml:space="preserve">, using </w:t>
      </w:r>
      <w:r>
        <w:t xml:space="preserve">MEDIN </w:t>
      </w:r>
      <w:r w:rsidR="00E377FD">
        <w:t>data g</w:t>
      </w:r>
      <w:r>
        <w:t>uideline</w:t>
      </w:r>
      <w:r w:rsidR="00E377FD">
        <w:t>s.</w:t>
      </w:r>
      <w:r>
        <w:t xml:space="preserve"> </w:t>
      </w:r>
      <w:r w:rsidR="00E377FD">
        <w:t>Users can b</w:t>
      </w:r>
      <w:r>
        <w:t>rows</w:t>
      </w:r>
      <w:r w:rsidR="00E377FD">
        <w:t>e</w:t>
      </w:r>
      <w:r>
        <w:t xml:space="preserve"> </w:t>
      </w:r>
      <w:r w:rsidR="00E377FD">
        <w:t>and search for</w:t>
      </w:r>
      <w:r>
        <w:t xml:space="preserve"> images </w:t>
      </w:r>
      <w:r w:rsidR="00E377FD">
        <w:t xml:space="preserve">on </w:t>
      </w:r>
      <w:r w:rsidR="00C21C9E">
        <w:t xml:space="preserve">the </w:t>
      </w:r>
      <w:r w:rsidR="00E377FD">
        <w:t>MAIMS</w:t>
      </w:r>
      <w:r w:rsidR="00C21C9E">
        <w:t xml:space="preserve"> and we envisage the content will continue to develop as more images are submitted</w:t>
      </w:r>
      <w:r w:rsidR="00E377FD">
        <w:t>.</w:t>
      </w:r>
    </w:p>
    <w:p w14:paraId="39C0F766" w14:textId="77777777" w:rsidR="00E377FD" w:rsidRDefault="00E377FD" w:rsidP="00E377FD">
      <w:pPr>
        <w:shd w:val="clear" w:color="auto" w:fill="FFFFFF"/>
        <w:spacing w:after="0" w:line="240" w:lineRule="auto"/>
        <w:textAlignment w:val="baseline"/>
        <w:rPr>
          <w:rFonts w:eastAsia="Times New Roman" w:cstheme="minorHAnsi"/>
          <w:color w:val="000000"/>
          <w:bdr w:val="none" w:sz="0" w:space="0" w:color="auto" w:frame="1"/>
          <w:lang w:eastAsia="en-GB"/>
        </w:rPr>
      </w:pPr>
    </w:p>
    <w:p w14:paraId="288F0A89" w14:textId="5790CC21" w:rsidR="00CC5C9B" w:rsidRPr="007A5864" w:rsidRDefault="00CC5C9B" w:rsidP="00CC5C9B">
      <w:r>
        <w:rPr>
          <w:rFonts w:eastAsia="Times New Roman" w:cstheme="minorHAnsi"/>
          <w:color w:val="000000"/>
          <w:bdr w:val="none" w:sz="0" w:space="0" w:color="auto" w:frame="1"/>
          <w:lang w:eastAsia="en-GB"/>
        </w:rPr>
        <w:t>The second of our small projects this year was awarded to the Briti</w:t>
      </w:r>
      <w:r w:rsidR="00205F77" w:rsidRPr="00203018">
        <w:rPr>
          <w:rFonts w:eastAsia="Times New Roman" w:cstheme="minorHAnsi"/>
          <w:color w:val="000000"/>
          <w:bdr w:val="none" w:sz="0" w:space="0" w:color="auto" w:frame="1"/>
          <w:lang w:eastAsia="en-GB"/>
        </w:rPr>
        <w:t>sh Oceanographic Data Centre (BODC)</w:t>
      </w:r>
      <w:r>
        <w:rPr>
          <w:rFonts w:eastAsia="Times New Roman" w:cstheme="minorHAnsi"/>
          <w:color w:val="000000"/>
          <w:bdr w:val="none" w:sz="0" w:space="0" w:color="auto" w:frame="1"/>
          <w:lang w:eastAsia="en-GB"/>
        </w:rPr>
        <w:t xml:space="preserve">. BODC </w:t>
      </w:r>
      <w:r w:rsidR="003F1E94">
        <w:rPr>
          <w:rFonts w:eastAsia="Times New Roman" w:cstheme="minorHAnsi"/>
          <w:color w:val="000000"/>
          <w:bdr w:val="none" w:sz="0" w:space="0" w:color="auto" w:frame="1"/>
          <w:lang w:eastAsia="en-GB"/>
        </w:rPr>
        <w:t xml:space="preserve">can now </w:t>
      </w:r>
      <w:r>
        <w:rPr>
          <w:rFonts w:eastAsia="Times New Roman" w:cstheme="minorHAnsi"/>
          <w:color w:val="000000"/>
          <w:bdr w:val="none" w:sz="0" w:space="0" w:color="auto" w:frame="1"/>
          <w:lang w:eastAsia="en-GB"/>
        </w:rPr>
        <w:t>p</w:t>
      </w:r>
      <w:r w:rsidR="00205F77" w:rsidRPr="00203018">
        <w:rPr>
          <w:rFonts w:eastAsia="Times New Roman" w:cstheme="minorHAnsi"/>
          <w:color w:val="000000"/>
          <w:bdr w:val="none" w:sz="0" w:space="0" w:color="auto" w:frame="1"/>
          <w:lang w:eastAsia="en-GB"/>
        </w:rPr>
        <w:t xml:space="preserve">rovide easy, online access to discrete water sample data using a data server called ERDDAP. Water sample data </w:t>
      </w:r>
      <w:r>
        <w:rPr>
          <w:rFonts w:eastAsia="Times New Roman" w:cstheme="minorHAnsi"/>
          <w:color w:val="000000"/>
          <w:bdr w:val="none" w:sz="0" w:space="0" w:color="auto" w:frame="1"/>
          <w:lang w:eastAsia="en-GB"/>
        </w:rPr>
        <w:t xml:space="preserve">were not previously </w:t>
      </w:r>
      <w:r w:rsidR="00205F77" w:rsidRPr="00203018">
        <w:rPr>
          <w:rFonts w:eastAsia="Times New Roman" w:cstheme="minorHAnsi"/>
          <w:color w:val="000000"/>
          <w:bdr w:val="none" w:sz="0" w:space="0" w:color="auto" w:frame="1"/>
          <w:lang w:eastAsia="en-GB"/>
        </w:rPr>
        <w:t>well exposed through BODC</w:t>
      </w:r>
      <w:r w:rsidR="00205F77">
        <w:rPr>
          <w:rFonts w:eastAsia="Times New Roman" w:cstheme="minorHAnsi"/>
          <w:color w:val="000000"/>
          <w:bdr w:val="none" w:sz="0" w:space="0" w:color="auto" w:frame="1"/>
          <w:lang w:eastAsia="en-GB"/>
        </w:rPr>
        <w:t>’s</w:t>
      </w:r>
      <w:r w:rsidR="00205F77" w:rsidRPr="00203018">
        <w:rPr>
          <w:rFonts w:eastAsia="Times New Roman" w:cstheme="minorHAnsi"/>
          <w:color w:val="000000"/>
          <w:bdr w:val="none" w:sz="0" w:space="0" w:color="auto" w:frame="1"/>
          <w:lang w:eastAsia="en-GB"/>
        </w:rPr>
        <w:t xml:space="preserve"> online systems. ERDDAP make</w:t>
      </w:r>
      <w:r>
        <w:rPr>
          <w:rFonts w:eastAsia="Times New Roman" w:cstheme="minorHAnsi"/>
          <w:color w:val="000000"/>
          <w:bdr w:val="none" w:sz="0" w:space="0" w:color="auto" w:frame="1"/>
          <w:lang w:eastAsia="en-GB"/>
        </w:rPr>
        <w:t>s</w:t>
      </w:r>
      <w:r w:rsidR="00205F77" w:rsidRPr="00203018">
        <w:rPr>
          <w:rFonts w:eastAsia="Times New Roman" w:cstheme="minorHAnsi"/>
          <w:color w:val="000000"/>
          <w:bdr w:val="none" w:sz="0" w:space="0" w:color="auto" w:frame="1"/>
          <w:lang w:eastAsia="en-GB"/>
        </w:rPr>
        <w:t xml:space="preserve"> it easy for users to access selected water sample data, </w:t>
      </w:r>
      <w:r>
        <w:rPr>
          <w:rFonts w:eastAsia="Times New Roman" w:cstheme="minorHAnsi"/>
          <w:color w:val="000000"/>
          <w:bdr w:val="none" w:sz="0" w:space="0" w:color="auto" w:frame="1"/>
          <w:lang w:eastAsia="en-GB"/>
        </w:rPr>
        <w:t xml:space="preserve">and has </w:t>
      </w:r>
      <w:r w:rsidR="00205F77" w:rsidRPr="00203018">
        <w:rPr>
          <w:rFonts w:eastAsia="Times New Roman" w:cstheme="minorHAnsi"/>
          <w:color w:val="000000"/>
          <w:bdr w:val="none" w:sz="0" w:space="0" w:color="auto" w:frame="1"/>
          <w:lang w:eastAsia="en-GB"/>
        </w:rPr>
        <w:t>release</w:t>
      </w:r>
      <w:r>
        <w:rPr>
          <w:rFonts w:eastAsia="Times New Roman" w:cstheme="minorHAnsi"/>
          <w:color w:val="000000"/>
          <w:bdr w:val="none" w:sz="0" w:space="0" w:color="auto" w:frame="1"/>
          <w:lang w:eastAsia="en-GB"/>
        </w:rPr>
        <w:t>d</w:t>
      </w:r>
      <w:r w:rsidR="00205F77" w:rsidRPr="00203018">
        <w:rPr>
          <w:rFonts w:eastAsia="Times New Roman" w:cstheme="minorHAnsi"/>
          <w:color w:val="000000"/>
          <w:bdr w:val="none" w:sz="0" w:space="0" w:color="auto" w:frame="1"/>
          <w:lang w:eastAsia="en-GB"/>
        </w:rPr>
        <w:t xml:space="preserve"> a lot of previously inaccessible data</w:t>
      </w:r>
      <w:r>
        <w:rPr>
          <w:rFonts w:eastAsia="Times New Roman" w:cstheme="minorHAnsi"/>
          <w:color w:val="000000"/>
          <w:bdr w:val="none" w:sz="0" w:space="0" w:color="auto" w:frame="1"/>
          <w:lang w:eastAsia="en-GB"/>
        </w:rPr>
        <w:t xml:space="preserve">. </w:t>
      </w:r>
      <w:r>
        <w:t>By exposing BODC</w:t>
      </w:r>
      <w:r w:rsidR="003F1E94">
        <w:t>’s</w:t>
      </w:r>
      <w:r>
        <w:t xml:space="preserve"> discrete measurements </w:t>
      </w:r>
      <w:r w:rsidR="003F1E94">
        <w:t>in this way</w:t>
      </w:r>
      <w:r>
        <w:t xml:space="preserve">, MEDIN users can choose to access the whole dataset within 2 clicks, or choose to subset data, providing dynamic access to BODC data holdings. </w:t>
      </w:r>
    </w:p>
    <w:p w14:paraId="47FBC751" w14:textId="77777777" w:rsidR="00205F77" w:rsidRPr="00203018" w:rsidRDefault="00205F77" w:rsidP="00205F77">
      <w:pPr>
        <w:shd w:val="clear" w:color="auto" w:fill="FFFFFF"/>
        <w:spacing w:after="0" w:line="240" w:lineRule="auto"/>
        <w:textAlignment w:val="baseline"/>
        <w:rPr>
          <w:rFonts w:eastAsia="Times New Roman" w:cstheme="minorHAnsi"/>
          <w:color w:val="000000"/>
          <w:bdr w:val="none" w:sz="0" w:space="0" w:color="auto" w:frame="1"/>
          <w:lang w:eastAsia="en-GB"/>
        </w:rPr>
      </w:pPr>
    </w:p>
    <w:p w14:paraId="211A3DED" w14:textId="77777777" w:rsidR="00205F77" w:rsidRDefault="00205F77" w:rsidP="00205F77">
      <w:pPr>
        <w:shd w:val="clear" w:color="auto" w:fill="FFFFFF"/>
        <w:spacing w:after="0" w:line="240" w:lineRule="auto"/>
        <w:textAlignment w:val="baseline"/>
        <w:rPr>
          <w:rFonts w:ascii="Calibri" w:eastAsia="Times New Roman" w:hAnsi="Calibri" w:cs="Times New Roman"/>
          <w:color w:val="0066CC"/>
          <w:sz w:val="52"/>
          <w:szCs w:val="52"/>
          <w:bdr w:val="none" w:sz="0" w:space="0" w:color="auto" w:frame="1"/>
          <w:lang w:eastAsia="en-GB"/>
        </w:rPr>
      </w:pPr>
      <w:r>
        <w:rPr>
          <w:rFonts w:ascii="Calibri" w:eastAsia="Times New Roman" w:hAnsi="Calibri" w:cs="Times New Roman"/>
          <w:noProof/>
          <w:color w:val="000000"/>
          <w:sz w:val="24"/>
          <w:szCs w:val="24"/>
          <w:bdr w:val="none" w:sz="0" w:space="0" w:color="auto" w:frame="1"/>
          <w:lang w:eastAsia="en-GB"/>
        </w:rPr>
        <w:drawing>
          <wp:inline distT="0" distB="0" distL="0" distR="0" wp14:anchorId="2442A172" wp14:editId="2B38497D">
            <wp:extent cx="2268187" cy="6883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assh_logo.png"/>
                    <pic:cNvPicPr/>
                  </pic:nvPicPr>
                  <pic:blipFill rotWithShape="1">
                    <a:blip r:embed="rId79">
                      <a:extLst>
                        <a:ext uri="{28A0092B-C50C-407E-A947-70E740481C1C}">
                          <a14:useLocalDpi xmlns:a14="http://schemas.microsoft.com/office/drawing/2010/main" val="0"/>
                        </a:ext>
                      </a:extLst>
                    </a:blip>
                    <a:srcRect r="49194"/>
                    <a:stretch/>
                  </pic:blipFill>
                  <pic:spPr bwMode="auto">
                    <a:xfrm>
                      <a:off x="0" y="0"/>
                      <a:ext cx="2307577" cy="700294"/>
                    </a:xfrm>
                    <a:prstGeom prst="rect">
                      <a:avLst/>
                    </a:prstGeom>
                    <a:ln>
                      <a:noFill/>
                    </a:ln>
                    <a:extLst>
                      <a:ext uri="{53640926-AAD7-44D8-BBD7-CCE9431645EC}">
                        <a14:shadowObscured xmlns:a14="http://schemas.microsoft.com/office/drawing/2010/main"/>
                      </a:ext>
                    </a:extLst>
                  </pic:spPr>
                </pic:pic>
              </a:graphicData>
            </a:graphic>
          </wp:inline>
        </w:drawing>
      </w:r>
      <w:r w:rsidRPr="006A1D4D">
        <w:rPr>
          <w:rFonts w:ascii="Calibri" w:eastAsia="Times New Roman" w:hAnsi="Calibri" w:cs="Times New Roman"/>
          <w:color w:val="0066CC"/>
          <w:sz w:val="52"/>
          <w:szCs w:val="52"/>
          <w:bdr w:val="none" w:sz="0" w:space="0" w:color="auto" w:frame="1"/>
          <w:lang w:eastAsia="en-GB"/>
        </w:rPr>
        <w:t>ResourceSpace</w:t>
      </w:r>
    </w:p>
    <w:p w14:paraId="06C67C3A" w14:textId="77777777" w:rsidR="00205F77" w:rsidRDefault="00205F77" w:rsidP="00205F77">
      <w:pPr>
        <w:shd w:val="clear" w:color="auto" w:fill="FFFFFF"/>
        <w:spacing w:after="0" w:line="240" w:lineRule="auto"/>
        <w:textAlignment w:val="baseline"/>
        <w:rPr>
          <w:rFonts w:ascii="Calibri" w:eastAsia="Times New Roman" w:hAnsi="Calibri" w:cs="Times New Roman"/>
          <w:color w:val="000000"/>
          <w:sz w:val="24"/>
          <w:szCs w:val="24"/>
          <w:bdr w:val="none" w:sz="0" w:space="0" w:color="auto" w:frame="1"/>
          <w:lang w:eastAsia="en-GB"/>
        </w:rPr>
      </w:pPr>
    </w:p>
    <w:p w14:paraId="0798695B" w14:textId="2900EC62" w:rsidR="00205F77" w:rsidRDefault="00205F77" w:rsidP="00205F77">
      <w:pPr>
        <w:shd w:val="clear" w:color="auto" w:fill="FFFFFF"/>
        <w:spacing w:after="0" w:line="240" w:lineRule="auto"/>
        <w:textAlignment w:val="baseline"/>
        <w:rPr>
          <w:rFonts w:ascii="Calibri" w:eastAsia="Times New Roman" w:hAnsi="Calibri" w:cs="Times New Roman"/>
          <w:color w:val="000000"/>
          <w:sz w:val="24"/>
          <w:szCs w:val="24"/>
          <w:bdr w:val="none" w:sz="0" w:space="0" w:color="auto" w:frame="1"/>
          <w:lang w:eastAsia="en-GB"/>
        </w:rPr>
      </w:pPr>
    </w:p>
    <w:p w14:paraId="7D0E88F1" w14:textId="77777777" w:rsidR="00205F77" w:rsidRDefault="00205F77" w:rsidP="00205F77">
      <w:pPr>
        <w:pStyle w:val="Heading2"/>
        <w:rPr>
          <w:rFonts w:eastAsia="Times New Roman"/>
          <w:bdr w:val="none" w:sz="0" w:space="0" w:color="auto" w:frame="1"/>
          <w:lang w:eastAsia="en-GB"/>
        </w:rPr>
      </w:pPr>
    </w:p>
    <w:p w14:paraId="2BBB4101" w14:textId="177CCA7D" w:rsidR="00613BBF" w:rsidRPr="00CE104E" w:rsidRDefault="00CE104E" w:rsidP="00613BBF">
      <w:pPr>
        <w:rPr>
          <w:sz w:val="52"/>
          <w:szCs w:val="52"/>
        </w:rPr>
      </w:pPr>
      <w:r>
        <w:rPr>
          <w:noProof/>
        </w:rPr>
        <w:drawing>
          <wp:inline distT="0" distB="0" distL="0" distR="0" wp14:anchorId="78C75FB5" wp14:editId="0424C3D6">
            <wp:extent cx="3270250" cy="981075"/>
            <wp:effectExtent l="0" t="0" r="0" b="0"/>
            <wp:docPr id="40" name="Picture 40" descr="https://connect.noc.ac.uk/files/images/communications/Branding/LOGO_2020_-_BODC_4_ONE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nnect.noc.ac.uk/files/images/communications/Branding/LOGO_2020_-_BODC_4_ONE_COLOUR.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92801" cy="987840"/>
                    </a:xfrm>
                    <a:prstGeom prst="rect">
                      <a:avLst/>
                    </a:prstGeom>
                    <a:noFill/>
                    <a:ln>
                      <a:noFill/>
                    </a:ln>
                  </pic:spPr>
                </pic:pic>
              </a:graphicData>
            </a:graphic>
          </wp:inline>
        </w:drawing>
      </w:r>
      <w:r w:rsidRPr="00CE104E">
        <w:rPr>
          <w:color w:val="089BA2" w:themeColor="accent3" w:themeShade="BF"/>
          <w:sz w:val="52"/>
          <w:szCs w:val="52"/>
        </w:rPr>
        <w:t>ERDDAP</w:t>
      </w:r>
    </w:p>
    <w:p w14:paraId="49B995C9" w14:textId="77777777" w:rsidR="00423722" w:rsidRDefault="00423722" w:rsidP="00423722">
      <w:r>
        <w:rPr>
          <w:rFonts w:eastAsia="Times New Roman"/>
          <w:noProof/>
          <w:lang w:eastAsia="en-GB"/>
        </w:rPr>
        <w:lastRenderedPageBreak/>
        <w:drawing>
          <wp:inline distT="0" distB="0" distL="0" distR="0" wp14:anchorId="7D96DF12" wp14:editId="745362DB">
            <wp:extent cx="6600825" cy="1885950"/>
            <wp:effectExtent l="38100" t="19050" r="47625" b="57150"/>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5C6EF138" w14:textId="665EB146" w:rsidR="00765EC4" w:rsidRDefault="00765EC4" w:rsidP="00765EC4">
      <w:r>
        <w:t xml:space="preserve">The UK marine community is a large and varied group of organisations spanning government departments and agencies, academia, commercial and industrial partners, and non-governmental organisations to name a few. It is only by working together that we can realise the full financial, scientific and environmental benefits of sharing our marine data. By bringing together </w:t>
      </w:r>
      <w:r w:rsidR="00831047">
        <w:t>the different sectors of the UK marine community</w:t>
      </w:r>
      <w:r>
        <w:t xml:space="preserve">, we </w:t>
      </w:r>
      <w:r w:rsidR="00D11B0D">
        <w:t>share</w:t>
      </w:r>
      <w:r w:rsidR="00831047">
        <w:t xml:space="preserve"> knowledge through different channels and provide opportunities for MEDIN Sponsors and Partners to communicate to audiences they may not </w:t>
      </w:r>
      <w:r>
        <w:t>otherwise</w:t>
      </w:r>
      <w:r w:rsidR="00831047">
        <w:t xml:space="preserve"> access. Communication</w:t>
      </w:r>
      <w:r>
        <w:t xml:space="preserve"> with these varied stakeholders</w:t>
      </w:r>
      <w:r w:rsidR="00831047">
        <w:t xml:space="preserve"> is key </w:t>
      </w:r>
      <w:r>
        <w:t>to</w:t>
      </w:r>
      <w:r w:rsidR="00831047">
        <w:t xml:space="preserve"> developing </w:t>
      </w:r>
      <w:r>
        <w:t>a</w:t>
      </w:r>
      <w:r w:rsidR="00831047">
        <w:t xml:space="preserve"> network </w:t>
      </w:r>
      <w:r>
        <w:t xml:space="preserve">that serves all our </w:t>
      </w:r>
      <w:r w:rsidR="00831047">
        <w:t xml:space="preserve">partners. We raise awareness of MEDIN and spread knowledge of our work throughout the network with high levels of outreach with the marine community and general public. This leads to greater awareness of the importance of marine data management and encourages the improvement of marine data management around the UK and internationally. </w:t>
      </w:r>
      <w:r>
        <w:t xml:space="preserve">Our main routes to reach our stakeholders are via our website and social media platforms; our free online newsletter, Marine Data News; through outreach events, conferences and trade fairs; and via the MEDIN YouTube channel. </w:t>
      </w:r>
    </w:p>
    <w:p w14:paraId="3C23CBD7" w14:textId="77777777" w:rsidR="00D77554" w:rsidRDefault="00D77554" w:rsidP="00D77554">
      <w:pPr>
        <w:pStyle w:val="Heading2"/>
      </w:pPr>
      <w:r>
        <w:t>We engage with our community</w:t>
      </w:r>
    </w:p>
    <w:p w14:paraId="57FEDE79" w14:textId="3B53D130" w:rsidR="00831047" w:rsidRDefault="00D77554" w:rsidP="00E70943">
      <w:r>
        <w:t xml:space="preserve">A really effective way for us to </w:t>
      </w:r>
      <w:r w:rsidRPr="001D0209">
        <w:t xml:space="preserve">engage with our users, both existing and prospective, is at conferences, trade fairs and outreach events. </w:t>
      </w:r>
      <w:r>
        <w:t xml:space="preserve"> This year, these e</w:t>
      </w:r>
      <w:r w:rsidR="00831047">
        <w:t>vents we</w:t>
      </w:r>
      <w:r>
        <w:t>re held virtually</w:t>
      </w:r>
      <w:r w:rsidR="00831047">
        <w:t xml:space="preserve"> due to the COVID-19 pandemic</w:t>
      </w:r>
      <w:r w:rsidR="001C660D">
        <w:t>. During 2020-21,</w:t>
      </w:r>
      <w:r>
        <w:t xml:space="preserve"> MEDIN and its Data Archive Centres participated in over </w:t>
      </w:r>
      <w:r w:rsidR="009035AB">
        <w:t>36</w:t>
      </w:r>
      <w:r>
        <w:t xml:space="preserve"> national and international conferences and trade fairs</w:t>
      </w:r>
      <w:r w:rsidR="003C3BA2">
        <w:t>, by giving presentations, providing a virtual trade stand and sponsoring events.</w:t>
      </w:r>
      <w:r w:rsidR="00831047">
        <w:t xml:space="preserve"> </w:t>
      </w:r>
      <w:r w:rsidR="003C3BA2">
        <w:t xml:space="preserve">As in previous years, a highlight was </w:t>
      </w:r>
      <w:r w:rsidR="00953362">
        <w:t>participating</w:t>
      </w:r>
      <w:r w:rsidR="003C3BA2">
        <w:t xml:space="preserve"> in</w:t>
      </w:r>
      <w:r w:rsidR="00831047">
        <w:t xml:space="preserve"> the Marine Alliance for Science and Technology for Scotland (MASTS) </w:t>
      </w:r>
      <w:r w:rsidR="003C3BA2">
        <w:t xml:space="preserve">Annual Science Meeting </w:t>
      </w:r>
      <w:r w:rsidR="00831047">
        <w:t xml:space="preserve">in October 2020. </w:t>
      </w:r>
      <w:r w:rsidR="00953362">
        <w:t xml:space="preserve">MASTS used </w:t>
      </w:r>
      <w:r w:rsidR="00831047">
        <w:t xml:space="preserve">the conference platform software ‘Hopin’, </w:t>
      </w:r>
      <w:r w:rsidR="00953362">
        <w:t xml:space="preserve">and </w:t>
      </w:r>
      <w:r w:rsidR="00831047">
        <w:t>MEDIN</w:t>
      </w:r>
      <w:r w:rsidR="00953362">
        <w:t xml:space="preserve">’s </w:t>
      </w:r>
      <w:r w:rsidR="00831047">
        <w:t xml:space="preserve">virtual stand had 67 visitors </w:t>
      </w:r>
      <w:r w:rsidR="00953362">
        <w:t xml:space="preserve">over 3 days </w:t>
      </w:r>
      <w:r w:rsidR="00831047">
        <w:t xml:space="preserve">with an average visiting time of 37 minutes. </w:t>
      </w:r>
      <w:r w:rsidR="003C3BA2">
        <w:t xml:space="preserve">At MASTS we </w:t>
      </w:r>
      <w:r w:rsidR="00953362">
        <w:t xml:space="preserve">also </w:t>
      </w:r>
      <w:r w:rsidR="003C3BA2">
        <w:t>gave</w:t>
      </w:r>
      <w:r w:rsidR="00831047">
        <w:t xml:space="preserve"> a </w:t>
      </w:r>
      <w:r w:rsidR="00953362">
        <w:t>virtual</w:t>
      </w:r>
      <w:r w:rsidR="00831047">
        <w:t xml:space="preserve"> poster presentation on MEDIN</w:t>
      </w:r>
      <w:r w:rsidR="00953362">
        <w:t>’s</w:t>
      </w:r>
      <w:r w:rsidR="00831047">
        <w:t xml:space="preserve"> vision </w:t>
      </w:r>
      <w:proofErr w:type="gramStart"/>
      <w:r w:rsidR="003C3BA2">
        <w:t xml:space="preserve">and </w:t>
      </w:r>
      <w:r w:rsidR="00831047">
        <w:t xml:space="preserve"> the</w:t>
      </w:r>
      <w:proofErr w:type="gramEnd"/>
      <w:r w:rsidR="00831047">
        <w:t xml:space="preserve"> recent cost benefit analysis of MEDIN</w:t>
      </w:r>
      <w:r w:rsidR="003C3BA2">
        <w:t>’s services</w:t>
      </w:r>
      <w:r w:rsidR="00831047">
        <w:t xml:space="preserve">. </w:t>
      </w:r>
      <w:proofErr w:type="gramStart"/>
      <w:r w:rsidR="003C3BA2">
        <w:t xml:space="preserve">Our </w:t>
      </w:r>
      <w:r w:rsidR="00831047">
        <w:t xml:space="preserve"> virtual</w:t>
      </w:r>
      <w:proofErr w:type="gramEnd"/>
      <w:r w:rsidR="00831047">
        <w:t xml:space="preserve"> </w:t>
      </w:r>
      <w:r w:rsidR="003C3BA2">
        <w:t xml:space="preserve">booth allowed </w:t>
      </w:r>
      <w:r w:rsidR="00831047">
        <w:t xml:space="preserve"> attendees  to access links and information in their own time</w:t>
      </w:r>
      <w:r w:rsidR="003C3BA2">
        <w:t xml:space="preserve">, and provided an opportunity to </w:t>
      </w:r>
      <w:r w:rsidR="00831047">
        <w:t>showcase the MEDIN animation</w:t>
      </w:r>
      <w:r w:rsidR="003C3BA2">
        <w:t>, which is a light-hearted way</w:t>
      </w:r>
      <w:r w:rsidR="00831047">
        <w:t xml:space="preserve"> to give </w:t>
      </w:r>
      <w:r w:rsidR="00953362">
        <w:t xml:space="preserve">audiences </w:t>
      </w:r>
      <w:r w:rsidR="00831047">
        <w:t xml:space="preserve">a better understanding </w:t>
      </w:r>
      <w:r w:rsidR="00953362">
        <w:t xml:space="preserve">of </w:t>
      </w:r>
      <w:r w:rsidR="00831047">
        <w:t>the importance of marine data management. In January 2021</w:t>
      </w:r>
      <w:r w:rsidR="003C3BA2">
        <w:t>,</w:t>
      </w:r>
      <w:r w:rsidR="00831047">
        <w:t xml:space="preserve"> MEDIN </w:t>
      </w:r>
      <w:r w:rsidR="003C3BA2">
        <w:t>participated in</w:t>
      </w:r>
      <w:r w:rsidR="00831047">
        <w:t xml:space="preserve"> Coastal Futures</w:t>
      </w:r>
      <w:r w:rsidR="003C3BA2">
        <w:t>, which provides a useful opportunity</w:t>
      </w:r>
      <w:r w:rsidR="00831047">
        <w:t xml:space="preserve"> to network with the </w:t>
      </w:r>
      <w:r w:rsidR="003C3BA2">
        <w:t xml:space="preserve">coastal </w:t>
      </w:r>
      <w:r w:rsidR="00831047">
        <w:t xml:space="preserve">community. </w:t>
      </w:r>
    </w:p>
    <w:p w14:paraId="54ED9C99" w14:textId="2389E406" w:rsidR="00864FAE" w:rsidRPr="00293F68" w:rsidRDefault="00864FAE">
      <w:pPr>
        <w:pStyle w:val="Heading2"/>
      </w:pPr>
      <w:r w:rsidRPr="00293F68">
        <w:t>We share marine data knowledge</w:t>
      </w:r>
    </w:p>
    <w:p w14:paraId="634C49D2" w14:textId="25753999" w:rsidR="00B448D0" w:rsidRDefault="00293F68">
      <w:r w:rsidRPr="00E70943">
        <w:rPr>
          <w:noProof/>
        </w:rPr>
        <w:t xml:space="preserve">This financial year we published </w:t>
      </w:r>
      <w:r w:rsidR="009035AB">
        <w:rPr>
          <w:noProof/>
        </w:rPr>
        <w:t>4</w:t>
      </w:r>
      <w:r w:rsidR="009035AB" w:rsidRPr="00E70943">
        <w:rPr>
          <w:noProof/>
        </w:rPr>
        <w:t xml:space="preserve"> </w:t>
      </w:r>
      <w:r w:rsidRPr="00E70943">
        <w:rPr>
          <w:noProof/>
        </w:rPr>
        <w:t xml:space="preserve">issues of </w:t>
      </w:r>
      <w:r w:rsidR="00B448D0" w:rsidRPr="00293F68">
        <w:rPr>
          <w:noProof/>
        </w:rPr>
        <w:t>Marine Data News</w:t>
      </w:r>
      <w:r w:rsidRPr="00C375CB">
        <w:rPr>
          <w:noProof/>
        </w:rPr>
        <w:t xml:space="preserve">, our free online newsletter, featuring </w:t>
      </w:r>
      <w:r w:rsidRPr="00293F68">
        <w:t>articles from MEDIN sponsors and partners. Successfully delivered to at least 530 people, statistics reveal that</w:t>
      </w:r>
      <w:r w:rsidRPr="00C375CB">
        <w:rPr>
          <w:noProof/>
        </w:rPr>
        <w:t xml:space="preserve"> each publication is opened 396 times on average. With an average of 83 hyperlink clicks, it is clear the newsletter content is relevant and engaging the marine community.</w:t>
      </w:r>
      <w:r w:rsidR="00B448D0">
        <w:rPr>
          <w:noProof/>
        </w:rPr>
        <w:t xml:space="preserve"> </w:t>
      </w:r>
    </w:p>
    <w:p w14:paraId="67A9BA98" w14:textId="26112877" w:rsidR="00831047" w:rsidRDefault="006346D6">
      <w:r>
        <w:t xml:space="preserve">The </w:t>
      </w:r>
      <w:r w:rsidR="00C375CB">
        <w:t>c</w:t>
      </w:r>
      <w:r w:rsidR="00831047">
        <w:t>ontent on the MEDIN website continues to reach hundreds of countries around the world</w:t>
      </w:r>
      <w:r w:rsidR="00091897">
        <w:t xml:space="preserve">. This year </w:t>
      </w:r>
      <w:r w:rsidR="00831047">
        <w:t xml:space="preserve">the top 10 </w:t>
      </w:r>
      <w:r w:rsidR="00091897">
        <w:t>countries accessing our resource</w:t>
      </w:r>
      <w:r w:rsidR="00642909">
        <w:t>s included the UK, USA and China</w:t>
      </w:r>
      <w:r w:rsidR="00953362">
        <w:t xml:space="preserve"> </w:t>
      </w:r>
      <w:r w:rsidR="00642909">
        <w:t>(</w:t>
      </w:r>
      <w:r w:rsidR="00343ECD">
        <w:t>F</w:t>
      </w:r>
      <w:r>
        <w:t xml:space="preserve">igure </w:t>
      </w:r>
      <w:r w:rsidR="0047264A">
        <w:t>6</w:t>
      </w:r>
      <w:r w:rsidR="00642909">
        <w:t>)</w:t>
      </w:r>
      <w:r w:rsidR="00831047">
        <w:t xml:space="preserve">. A total of 6,798 users visited the MEDIN </w:t>
      </w:r>
      <w:r w:rsidR="00831047">
        <w:lastRenderedPageBreak/>
        <w:t xml:space="preserve">website between April 2020 and April 2021. The most popular pages (apart from the MEDIN homepage) </w:t>
      </w:r>
      <w:r w:rsidR="003507D4">
        <w:rPr>
          <w:noProof/>
        </w:rPr>
        <w:drawing>
          <wp:anchor distT="0" distB="0" distL="114300" distR="114300" simplePos="0" relativeHeight="251663360" behindDoc="0" locked="0" layoutInCell="1" allowOverlap="1" wp14:anchorId="4147D997" wp14:editId="623F4539">
            <wp:simplePos x="0" y="0"/>
            <wp:positionH relativeFrom="margin">
              <wp:align>left</wp:align>
            </wp:positionH>
            <wp:positionV relativeFrom="paragraph">
              <wp:posOffset>0</wp:posOffset>
            </wp:positionV>
            <wp:extent cx="2781300" cy="217741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796763" cy="2189881"/>
                    </a:xfrm>
                    <a:prstGeom prst="rect">
                      <a:avLst/>
                    </a:prstGeom>
                  </pic:spPr>
                </pic:pic>
              </a:graphicData>
            </a:graphic>
            <wp14:sizeRelH relativeFrom="margin">
              <wp14:pctWidth>0</wp14:pctWidth>
            </wp14:sizeRelH>
            <wp14:sizeRelV relativeFrom="margin">
              <wp14:pctHeight>0</wp14:pctHeight>
            </wp14:sizeRelV>
          </wp:anchor>
        </w:drawing>
      </w:r>
      <w:r w:rsidR="00831047">
        <w:t>were the MEDIN Discovery Metadata Standard and the MEDIN data guidelines pages. There were a total of 2165 downloads from the MEDIN website during the year, which include</w:t>
      </w:r>
      <w:r w:rsidR="0013417B">
        <w:t>s</w:t>
      </w:r>
      <w:r w:rsidR="00831047">
        <w:t xml:space="preserve"> MEDIN guidelines, key documents and other resources available for download. </w:t>
      </w:r>
    </w:p>
    <w:p w14:paraId="72EE9594" w14:textId="0C7CA807" w:rsidR="00953362" w:rsidRDefault="0013417B" w:rsidP="00953362">
      <w:r>
        <w:t xml:space="preserve">We </w:t>
      </w:r>
      <w:r w:rsidR="00721830">
        <w:t xml:space="preserve">appreciate </w:t>
      </w:r>
      <w:r>
        <w:t xml:space="preserve">the need to </w:t>
      </w:r>
      <w:r w:rsidR="004B6158">
        <w:t xml:space="preserve">employ a range of </w:t>
      </w:r>
      <w:r>
        <w:t>communicat</w:t>
      </w:r>
      <w:r w:rsidR="004B6158">
        <w:t xml:space="preserve">ion techniques </w:t>
      </w:r>
      <w:r w:rsidR="00721830">
        <w:t xml:space="preserve">to reach different audiences </w:t>
      </w:r>
      <w:r>
        <w:t>and this year we developed a series of infographics</w:t>
      </w:r>
      <w:r w:rsidR="004B6158">
        <w:t xml:space="preserve"> to portray our vision and benefits in a simple, visual way</w:t>
      </w:r>
      <w:r>
        <w:t xml:space="preserve">. </w:t>
      </w:r>
      <w:r w:rsidR="00721830">
        <w:t>One of these</w:t>
      </w:r>
      <w:r w:rsidR="004B6158">
        <w:t xml:space="preserve"> </w:t>
      </w:r>
      <w:r w:rsidR="00721830">
        <w:t>is a new “About Us” infographic (</w:t>
      </w:r>
      <w:r w:rsidR="00343ECD">
        <w:t>F</w:t>
      </w:r>
      <w:r w:rsidR="00721830">
        <w:t xml:space="preserve">igure </w:t>
      </w:r>
      <w:r w:rsidR="0047264A">
        <w:t>7</w:t>
      </w:r>
      <w:r w:rsidR="00721830">
        <w:t xml:space="preserve">) and another </w:t>
      </w:r>
      <w:r w:rsidR="00831047">
        <w:t>show</w:t>
      </w:r>
      <w:r w:rsidR="004B6158">
        <w:t>s</w:t>
      </w:r>
      <w:r w:rsidR="00831047">
        <w:t xml:space="preserve"> the costs </w:t>
      </w:r>
      <w:r w:rsidR="004B6158">
        <w:t xml:space="preserve">and </w:t>
      </w:r>
      <w:r w:rsidR="00831047">
        <w:t xml:space="preserve">benefits </w:t>
      </w:r>
      <w:r w:rsidR="004B6158">
        <w:t>of MEDI</w:t>
      </w:r>
      <w:r w:rsidR="00721830">
        <w:t>N</w:t>
      </w:r>
      <w:r w:rsidR="004B6158">
        <w:t xml:space="preserve">’s </w:t>
      </w:r>
      <w:r w:rsidR="00655F84">
        <w:t>services (</w:t>
      </w:r>
      <w:r w:rsidR="00343ECD">
        <w:t>F</w:t>
      </w:r>
      <w:r w:rsidR="007455E8">
        <w:t xml:space="preserve">igure </w:t>
      </w:r>
      <w:r w:rsidR="0047264A">
        <w:t>8</w:t>
      </w:r>
      <w:r w:rsidR="007455E8">
        <w:t>)</w:t>
      </w:r>
      <w:r w:rsidR="00953362">
        <w:t>.</w:t>
      </w:r>
    </w:p>
    <w:p w14:paraId="73BC2943" w14:textId="2D02FBFD" w:rsidR="003507D4" w:rsidRPr="00C375CB" w:rsidRDefault="003507D4" w:rsidP="00953362">
      <w:pPr>
        <w:rPr>
          <w:i/>
        </w:rPr>
      </w:pPr>
      <w:r w:rsidRPr="00C375CB">
        <w:rPr>
          <w:i/>
        </w:rPr>
        <w:t xml:space="preserve">Figure </w:t>
      </w:r>
      <w:r w:rsidR="0047264A">
        <w:rPr>
          <w:i/>
        </w:rPr>
        <w:t>6</w:t>
      </w:r>
      <w:r w:rsidRPr="00C375CB">
        <w:rPr>
          <w:i/>
        </w:rPr>
        <w:t xml:space="preserve"> </w:t>
      </w:r>
      <w:r w:rsidR="000563C7" w:rsidRPr="00C375CB">
        <w:rPr>
          <w:i/>
        </w:rPr>
        <w:t>Proportion of users of MEDIN website by country.</w:t>
      </w:r>
      <w:r w:rsidR="00FE21C2">
        <w:rPr>
          <w:i/>
        </w:rPr>
        <w:t xml:space="preserve"> The ‘other’ segment includes over 120 countries, demonstrating the breadth of our coverage.</w:t>
      </w:r>
    </w:p>
    <w:p w14:paraId="756855F9" w14:textId="720CFA75" w:rsidR="00831047" w:rsidRPr="00A01441" w:rsidRDefault="0008111B" w:rsidP="00C375CB">
      <w:r>
        <w:rPr>
          <w:noProof/>
        </w:rPr>
        <w:drawing>
          <wp:inline distT="0" distB="0" distL="0" distR="0" wp14:anchorId="720BFB27" wp14:editId="7E9A8DE4">
            <wp:extent cx="6645910" cy="4695825"/>
            <wp:effectExtent l="0" t="0" r="254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edin About infographic 1200px.jpg"/>
                    <pic:cNvPicPr/>
                  </pic:nvPicPr>
                  <pic:blipFill>
                    <a:blip r:embed="rId87">
                      <a:extLst>
                        <a:ext uri="{28A0092B-C50C-407E-A947-70E740481C1C}">
                          <a14:useLocalDpi xmlns:a14="http://schemas.microsoft.com/office/drawing/2010/main" val="0"/>
                        </a:ext>
                      </a:extLst>
                    </a:blip>
                    <a:stretch>
                      <a:fillRect/>
                    </a:stretch>
                  </pic:blipFill>
                  <pic:spPr>
                    <a:xfrm>
                      <a:off x="0" y="0"/>
                      <a:ext cx="6645910" cy="4695825"/>
                    </a:xfrm>
                    <a:prstGeom prst="rect">
                      <a:avLst/>
                    </a:prstGeom>
                  </pic:spPr>
                </pic:pic>
              </a:graphicData>
            </a:graphic>
          </wp:inline>
        </w:drawing>
      </w:r>
    </w:p>
    <w:p w14:paraId="3EB71BDB" w14:textId="5651FE57" w:rsidR="00831047" w:rsidRPr="00C375CB" w:rsidRDefault="00831047">
      <w:pPr>
        <w:rPr>
          <w:i/>
        </w:rPr>
      </w:pPr>
      <w:r>
        <w:t xml:space="preserve"> </w:t>
      </w:r>
      <w:r w:rsidR="00994B80" w:rsidRPr="00C375CB">
        <w:rPr>
          <w:i/>
        </w:rPr>
        <w:t xml:space="preserve">Figure </w:t>
      </w:r>
      <w:r w:rsidR="0047264A">
        <w:rPr>
          <w:i/>
        </w:rPr>
        <w:t>7</w:t>
      </w:r>
      <w:r w:rsidR="00994B80" w:rsidRPr="00C375CB">
        <w:rPr>
          <w:i/>
        </w:rPr>
        <w:t>: MEDIN’s new “About us” infographic.</w:t>
      </w:r>
    </w:p>
    <w:p w14:paraId="4B5897A8" w14:textId="77777777" w:rsidR="00953362" w:rsidRDefault="00953362" w:rsidP="00C375CB">
      <w:pPr>
        <w:pStyle w:val="Heading2"/>
      </w:pPr>
      <w:r>
        <w:t>We reach new audiences</w:t>
      </w:r>
    </w:p>
    <w:p w14:paraId="491910E5" w14:textId="198D035E" w:rsidR="00831047" w:rsidRDefault="00953362" w:rsidP="00831047">
      <w:r>
        <w:t xml:space="preserve">MEDIN uses online platforms to reach out to new audiences. Our social media outreach has continued to grow substantially since April 2020. We post to LinkedIn and Twitter </w:t>
      </w:r>
      <w:r w:rsidRPr="00532D61">
        <w:t>weekly, updating our followers on our work and sharing marine data information from our partners and sponsors. We</w:t>
      </w:r>
      <w:r w:rsidR="00831047" w:rsidRPr="00532D61">
        <w:t xml:space="preserve"> increase</w:t>
      </w:r>
      <w:r w:rsidRPr="00532D61">
        <w:t xml:space="preserve">d our Twitter followers by </w:t>
      </w:r>
      <w:r w:rsidR="00343ECD" w:rsidRPr="00532D61">
        <w:t>13</w:t>
      </w:r>
      <w:r w:rsidR="00B448D0" w:rsidRPr="00532D61">
        <w:t xml:space="preserve">% during 2020-21, reaching a total of </w:t>
      </w:r>
      <w:r w:rsidR="00343ECD" w:rsidRPr="00532D61">
        <w:t xml:space="preserve">1702 </w:t>
      </w:r>
      <w:r w:rsidR="00B448D0" w:rsidRPr="00532D61">
        <w:t>at the end of March 2021</w:t>
      </w:r>
      <w:r w:rsidR="00831047" w:rsidRPr="00532D61">
        <w:t xml:space="preserve">, whilst MEDIN LinkedIn now has 93 connections and a </w:t>
      </w:r>
      <w:r w:rsidR="00831047" w:rsidRPr="00532D61">
        <w:lastRenderedPageBreak/>
        <w:t>further 40 followers on the company account. As MEDIN</w:t>
      </w:r>
      <w:r w:rsidR="00831047">
        <w:t xml:space="preserve"> LinkedIn increases in popularity, so do the interactions that take place on the MEDIN profile. The most popular posts are a good indicator of content relevance and shows how we are providing desired information to our audience. This kind of analysis provides useful guidance so we can perfect the different types of content needed for Twitter and LinkedIn. </w:t>
      </w:r>
    </w:p>
    <w:p w14:paraId="0F12B05D" w14:textId="77777777" w:rsidR="008336FD" w:rsidRDefault="008336FD" w:rsidP="008336FD">
      <w:pPr>
        <w:pStyle w:val="Heading2"/>
      </w:pPr>
      <w:r>
        <w:t>Challenges and opportunities</w:t>
      </w:r>
    </w:p>
    <w:p w14:paraId="530CFCB0" w14:textId="4E9B1E8D" w:rsidR="00831047" w:rsidRDefault="001C660D" w:rsidP="00831047">
      <w:r>
        <w:t>The global pandemic h</w:t>
      </w:r>
      <w:r w:rsidR="00831047">
        <w:t xml:space="preserve">as proved challenging </w:t>
      </w:r>
      <w:r>
        <w:t>for</w:t>
      </w:r>
      <w:r w:rsidR="00831047">
        <w:t xml:space="preserve"> many of </w:t>
      </w:r>
      <w:r>
        <w:t>our</w:t>
      </w:r>
      <w:r w:rsidR="00831047">
        <w:t xml:space="preserve"> outreach activities</w:t>
      </w:r>
      <w:r>
        <w:t>, which</w:t>
      </w:r>
      <w:r w:rsidR="00831047">
        <w:t xml:space="preserve"> were previously conducted face-to-face at conferences and trade fairs. However, we have grasped the opportunities to embrace remote conferencing to support the marine community and develop</w:t>
      </w:r>
      <w:r>
        <w:t>ed new</w:t>
      </w:r>
      <w:r w:rsidR="00831047">
        <w:t xml:space="preserve"> workflows and habits to accommodate remote working. This has been successful given the circumstances and </w:t>
      </w:r>
      <w:r>
        <w:t xml:space="preserve">we </w:t>
      </w:r>
      <w:r w:rsidR="00831047">
        <w:t xml:space="preserve">are looking towards developing more outreach services remotely where possible. </w:t>
      </w:r>
    </w:p>
    <w:p w14:paraId="3843F370" w14:textId="14E78A84" w:rsidR="00D41B36" w:rsidRDefault="00D41B36">
      <w:r>
        <w:br w:type="page"/>
      </w:r>
    </w:p>
    <w:p w14:paraId="21DEEE06" w14:textId="77777777" w:rsidR="00755998" w:rsidRDefault="0016716F" w:rsidP="00E13B88">
      <w:pPr>
        <w:jc w:val="center"/>
      </w:pPr>
      <w:r>
        <w:rPr>
          <w:rFonts w:eastAsia="Times New Roman"/>
          <w:noProof/>
          <w:lang w:eastAsia="en-GB"/>
        </w:rPr>
        <w:lastRenderedPageBreak/>
        <w:drawing>
          <wp:inline distT="0" distB="0" distL="0" distR="0" wp14:anchorId="23108F65" wp14:editId="65ADA610">
            <wp:extent cx="6600825" cy="1885950"/>
            <wp:effectExtent l="0" t="19050" r="47625" b="5715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4D96E233" w14:textId="77777777" w:rsidR="00581230" w:rsidRPr="0016365A" w:rsidRDefault="00581230" w:rsidP="00581230">
      <w:r>
        <w:t xml:space="preserve">The seas and coasts surrounding the UK have a complex range of stakeholders who manage, monitor, explore, conserve and sustainably exploit the marine environment. We seek to provide tools and services that support all UK users of marine environmental data. This requires significant coordination to address the (sometimes conflicting) requirements of our users. This work stream provides our partners with overarching coordination, alignment and oversight of marine data management activities in the UK. Long-term strategic planning, annual operational planning and reporting, project and financial management, essential for the success of MEDIN as a collaborative endeavour, are also covered by this work stream. </w:t>
      </w:r>
    </w:p>
    <w:p w14:paraId="03366A10" w14:textId="77777777" w:rsidR="00F551ED" w:rsidRDefault="00F551ED" w:rsidP="00F551ED">
      <w:pPr>
        <w:pStyle w:val="Heading2"/>
      </w:pPr>
      <w:r>
        <w:t>We provide value for money</w:t>
      </w:r>
    </w:p>
    <w:p w14:paraId="76F74407" w14:textId="47AD4FB7" w:rsidR="00F551ED" w:rsidRDefault="00E40A27">
      <w:r>
        <w:t>Following on from last years’ success in analysing the benefits and costs of MEDIN’s services,</w:t>
      </w:r>
      <w:r w:rsidR="00530A70">
        <w:t xml:space="preserve"> this year we developed a method to better understand the users and uses of the data made available from our data centres. This was a collaborative project with the Organisation for Economic Cooperation and Development (OECD) and the Global Ocean Observing System (GOOS), with MEDIN’s involvement funded by Defra</w:t>
      </w:r>
      <w:r w:rsidR="00DD39DD">
        <w:t xml:space="preserve">. The project </w:t>
      </w:r>
      <w:r w:rsidR="00530A70">
        <w:t>provide</w:t>
      </w:r>
      <w:r w:rsidR="00FD1021">
        <w:t>s</w:t>
      </w:r>
      <w:r w:rsidR="00530A70">
        <w:t xml:space="preserve"> insight into the value chains of marine data made available from public marine repositories.</w:t>
      </w:r>
      <w:r w:rsidR="00FD1021">
        <w:t xml:space="preserve"> We</w:t>
      </w:r>
      <w:r w:rsidR="00DD39DD">
        <w:t xml:space="preserve"> will launch the</w:t>
      </w:r>
      <w:r w:rsidR="00FD1021">
        <w:t xml:space="preserve"> report detailing the </w:t>
      </w:r>
      <w:r w:rsidR="00DD39DD">
        <w:t>results</w:t>
      </w:r>
      <w:r w:rsidR="00FD1021">
        <w:t xml:space="preserve"> of the project in summer 2021</w:t>
      </w:r>
      <w:r w:rsidR="00086A93">
        <w:t xml:space="preserve"> </w:t>
      </w:r>
      <w:r w:rsidR="00086A93" w:rsidRPr="00086A93">
        <w:rPr>
          <w:i/>
        </w:rPr>
        <w:t>(</w:t>
      </w:r>
      <w:r w:rsidR="00086A93" w:rsidRPr="00086A93">
        <w:rPr>
          <w:i/>
          <w:color w:val="000000"/>
        </w:rPr>
        <w:t>Value Chains in Public Marine Data: A UK case study. A joint OECD STI Policy Paper in collaboration with the UK Marine Environmental Data and Information Network (MEDIN) and the Intergovernmental Oceanographic Commission of UNESCO)</w:t>
      </w:r>
      <w:r w:rsidR="00FD1021">
        <w:t xml:space="preserve">. </w:t>
      </w:r>
      <w:r w:rsidR="00DD39DD">
        <w:t>It</w:t>
      </w:r>
      <w:r w:rsidR="00FD1021">
        <w:t xml:space="preserve"> provides robust evidence of the breadth of marine data our users are accessing, in order to carry out a plethora of actions. </w:t>
      </w:r>
      <w:r w:rsidR="007250F7">
        <w:t xml:space="preserve">This in turn validates MEDIN’s </w:t>
      </w:r>
      <w:r w:rsidR="00D549B8">
        <w:t xml:space="preserve">overarching </w:t>
      </w:r>
      <w:r w:rsidR="007250F7">
        <w:t>approach to</w:t>
      </w:r>
      <w:r w:rsidR="00D549B8">
        <w:t xml:space="preserve"> focus on raw data, without making assumptions about who might use the data for what purpose.</w:t>
      </w:r>
      <w:r w:rsidR="00172363">
        <w:t xml:space="preserve"> </w:t>
      </w:r>
    </w:p>
    <w:p w14:paraId="3C1BAB6B" w14:textId="77777777" w:rsidR="0073706F" w:rsidRDefault="0073706F" w:rsidP="0073706F">
      <w:pPr>
        <w:pStyle w:val="Heading2"/>
      </w:pPr>
      <w:r>
        <w:t>We inform data strategies</w:t>
      </w:r>
    </w:p>
    <w:p w14:paraId="0C8C0DDA" w14:textId="77777777" w:rsidR="0073706F" w:rsidRDefault="0073706F" w:rsidP="0073706F">
      <w:pPr>
        <w:rPr>
          <w:rFonts w:eastAsia="Times New Roman" w:cstheme="minorHAnsi"/>
          <w:lang w:eastAsia="en-GB"/>
        </w:rPr>
      </w:pPr>
      <w:r w:rsidRPr="0002637A">
        <w:t>This year</w:t>
      </w:r>
      <w:r>
        <w:t>,</w:t>
      </w:r>
      <w:r w:rsidRPr="0002637A">
        <w:t xml:space="preserve"> we have supported our partners </w:t>
      </w:r>
      <w:r>
        <w:t xml:space="preserve">to </w:t>
      </w:r>
      <w:r w:rsidRPr="0002637A">
        <w:t xml:space="preserve">develop data strategies that align with the ethos of MEDIN.  For example, </w:t>
      </w:r>
      <w:r w:rsidRPr="0002637A">
        <w:rPr>
          <w:rFonts w:eastAsia="Times New Roman" w:cstheme="minorHAnsi"/>
          <w:lang w:eastAsia="en-GB"/>
        </w:rPr>
        <w:t xml:space="preserve">NatureScot (formerly Scottish Natural Heritage) </w:t>
      </w:r>
      <w:r>
        <w:rPr>
          <w:rFonts w:eastAsia="Times New Roman" w:cstheme="minorHAnsi"/>
          <w:lang w:eastAsia="en-GB"/>
        </w:rPr>
        <w:t>highlight</w:t>
      </w:r>
      <w:r w:rsidRPr="0002637A">
        <w:rPr>
          <w:rFonts w:eastAsia="Times New Roman" w:cstheme="minorHAnsi"/>
          <w:lang w:eastAsia="en-GB"/>
        </w:rPr>
        <w:t xml:space="preserve"> MEDIN in the data management section of their newly published</w:t>
      </w:r>
      <w:r w:rsidRPr="0002637A">
        <w:rPr>
          <w:rFonts w:eastAsia="Times New Roman" w:cstheme="minorHAnsi"/>
          <w:u w:val="single"/>
          <w:lang w:eastAsia="en-GB"/>
        </w:rPr>
        <w:t xml:space="preserve"> </w:t>
      </w:r>
      <w:hyperlink r:id="rId93" w:history="1">
        <w:r w:rsidRPr="00FD3D90">
          <w:rPr>
            <w:rStyle w:val="Hyperlink"/>
            <w:rFonts w:eastAsia="Times New Roman" w:cstheme="minorHAnsi"/>
            <w:lang w:eastAsia="en-GB"/>
          </w:rPr>
          <w:t>Marine Biodiversity Monitoring Handbook</w:t>
        </w:r>
      </w:hyperlink>
      <w:r>
        <w:rPr>
          <w:rFonts w:eastAsia="Times New Roman" w:cstheme="minorHAnsi"/>
          <w:color w:val="0563C1"/>
          <w:u w:val="single"/>
          <w:lang w:eastAsia="en-GB"/>
        </w:rPr>
        <w:t xml:space="preserve"> </w:t>
      </w:r>
      <w:r w:rsidRPr="00FD3D90">
        <w:rPr>
          <w:rFonts w:eastAsia="Times New Roman" w:cstheme="minorHAnsi"/>
          <w:lang w:eastAsia="en-GB"/>
        </w:rPr>
        <w:t xml:space="preserve">as do the </w:t>
      </w:r>
      <w:r>
        <w:rPr>
          <w:rFonts w:eastAsia="Times New Roman" w:cstheme="minorHAnsi"/>
          <w:lang w:eastAsia="en-GB"/>
        </w:rPr>
        <w:t xml:space="preserve">data strategies of the </w:t>
      </w:r>
      <w:r w:rsidRPr="00FD3D90">
        <w:rPr>
          <w:rFonts w:eastAsia="Times New Roman" w:cstheme="minorHAnsi"/>
          <w:lang w:eastAsia="en-GB"/>
        </w:rPr>
        <w:t>National Oceanography Centr</w:t>
      </w:r>
      <w:r>
        <w:rPr>
          <w:rFonts w:eastAsia="Times New Roman" w:cstheme="minorHAnsi"/>
          <w:lang w:eastAsia="en-GB"/>
        </w:rPr>
        <w:t xml:space="preserve">e, Natural Resources Wales, and the Joint Welsh Strategy. </w:t>
      </w:r>
      <w:r w:rsidRPr="00FD3D90">
        <w:rPr>
          <w:rFonts w:eastAsia="Times New Roman" w:cstheme="minorHAnsi"/>
          <w:lang w:eastAsia="en-GB"/>
        </w:rPr>
        <w:t xml:space="preserve">  </w:t>
      </w:r>
    </w:p>
    <w:p w14:paraId="73FC1FD6" w14:textId="77777777" w:rsidR="0073706F" w:rsidRDefault="0073706F" w:rsidP="0073706F">
      <w:r w:rsidRPr="00393B3E">
        <w:t>To support UK national and international marine reporting responsibilities</w:t>
      </w:r>
      <w:r>
        <w:t>,</w:t>
      </w:r>
      <w:r w:rsidRPr="00393B3E">
        <w:t xml:space="preserve"> such as </w:t>
      </w:r>
      <w:r>
        <w:t xml:space="preserve">for </w:t>
      </w:r>
      <w:r w:rsidRPr="00393B3E">
        <w:t>the UK Marine Strategy</w:t>
      </w:r>
      <w:r>
        <w:t xml:space="preserve"> and </w:t>
      </w:r>
      <w:r w:rsidRPr="00393B3E">
        <w:t xml:space="preserve">OSPAR, we provide marine data management advice and support to the key groups involved in marine assessments. In particular, during </w:t>
      </w:r>
      <w:r>
        <w:t>2020-21</w:t>
      </w:r>
      <w:r w:rsidRPr="00393B3E">
        <w:t xml:space="preserve"> we supported the Marine Assessment and Reporting Group (MARG) and the four evidence groups that MARG coordinates </w:t>
      </w:r>
      <w:r>
        <w:t>(</w:t>
      </w:r>
      <w:r>
        <w:rPr>
          <w:rFonts w:cstheme="minorHAnsi"/>
          <w:color w:val="0B0C0C"/>
          <w:shd w:val="clear" w:color="auto" w:fill="FFFFFF"/>
        </w:rPr>
        <w:t>the</w:t>
      </w:r>
      <w:r w:rsidRPr="00393B3E">
        <w:t xml:space="preserve"> </w:t>
      </w:r>
      <w:r w:rsidRPr="00393B3E">
        <w:rPr>
          <w:rFonts w:cs="Arial"/>
        </w:rPr>
        <w:t xml:space="preserve">Clean and Safe Seas Evidence Group (CSSEG); </w:t>
      </w:r>
      <w:r>
        <w:rPr>
          <w:rFonts w:cs="Arial"/>
        </w:rPr>
        <w:t xml:space="preserve">the </w:t>
      </w:r>
      <w:r w:rsidRPr="00393B3E">
        <w:rPr>
          <w:rFonts w:cs="Arial"/>
        </w:rPr>
        <w:t xml:space="preserve">Healthy and Biologically Diverse Seas Evidence Group (HBDSEG); </w:t>
      </w:r>
      <w:r>
        <w:rPr>
          <w:rFonts w:cs="Arial"/>
        </w:rPr>
        <w:t xml:space="preserve">the </w:t>
      </w:r>
      <w:r w:rsidRPr="00393B3E">
        <w:rPr>
          <w:rFonts w:cs="Arial"/>
        </w:rPr>
        <w:t>Productive Seas Evidence Group (PSEG);</w:t>
      </w:r>
      <w:r>
        <w:rPr>
          <w:rFonts w:cs="Arial"/>
        </w:rPr>
        <w:t xml:space="preserve"> the</w:t>
      </w:r>
      <w:r w:rsidRPr="00393B3E">
        <w:rPr>
          <w:rFonts w:cs="Arial"/>
        </w:rPr>
        <w:t xml:space="preserve"> </w:t>
      </w:r>
      <w:r w:rsidRPr="00393B3E">
        <w:rPr>
          <w:lang w:eastAsia="en-GB"/>
        </w:rPr>
        <w:t>Ocean Processes Evidence Group (OPEG)</w:t>
      </w:r>
      <w:r>
        <w:rPr>
          <w:lang w:eastAsia="en-GB"/>
        </w:rPr>
        <w:t xml:space="preserve">, </w:t>
      </w:r>
      <w:r w:rsidRPr="00393B3E">
        <w:t>to de</w:t>
      </w:r>
      <w:r>
        <w:t>velop a data strategy for the UK Marine Monitoring and Assessment Strategy (UKMMAS) community. This data strategy is a concise, high level and ambitious summary of the expectations for collecting, using and managing marine data by the UKMMAS community, with t</w:t>
      </w:r>
      <w:r w:rsidRPr="00AC6C82">
        <w:t xml:space="preserve">he overarching aim to ensure that the marine data produced by the activities falling under the remit of the UKMMAS community are made openly available for </w:t>
      </w:r>
      <w:r>
        <w:t>long-term</w:t>
      </w:r>
      <w:r w:rsidRPr="00AC6C82">
        <w:t xml:space="preserve"> access and use.</w:t>
      </w:r>
    </w:p>
    <w:p w14:paraId="2A5E4510" w14:textId="77777777" w:rsidR="0073706F" w:rsidRPr="00FD3D90" w:rsidRDefault="0073706F" w:rsidP="0073706F">
      <w:r>
        <w:t xml:space="preserve">Of course, we also keep an eye on emerging data strategies that affect our stakeholders. Significant this year, we provided a coordinated, marine-focused response to the </w:t>
      </w:r>
      <w:r>
        <w:rPr>
          <w:rFonts w:cstheme="minorHAnsi"/>
        </w:rPr>
        <w:t xml:space="preserve">UK national data strategy consultation: </w:t>
      </w:r>
      <w:hyperlink r:id="rId94" w:history="1">
        <w:r>
          <w:rPr>
            <w:rStyle w:val="Hyperlink"/>
            <w:rFonts w:cstheme="minorHAnsi"/>
          </w:rPr>
          <w:t>https://www.gov.uk/government/consultations/uk-national-data-strategy-nds-consultation/uk-national-data-strategy-consultation</w:t>
        </w:r>
      </w:hyperlink>
      <w:r>
        <w:rPr>
          <w:rStyle w:val="Hyperlink"/>
          <w:rFonts w:cstheme="minorHAnsi"/>
        </w:rPr>
        <w:t xml:space="preserve">. </w:t>
      </w:r>
    </w:p>
    <w:p w14:paraId="7A0C942D" w14:textId="77777777" w:rsidR="0073706F" w:rsidRDefault="0073706F" w:rsidP="0073706F">
      <w:pPr>
        <w:pStyle w:val="Heading2"/>
      </w:pPr>
      <w:r>
        <w:t>We expand our network</w:t>
      </w:r>
    </w:p>
    <w:p w14:paraId="4F9D7643" w14:textId="77777777" w:rsidR="0073706F" w:rsidRDefault="0073706F" w:rsidP="0073706F">
      <w:r>
        <w:t xml:space="preserve">This year we successfully renewed four funding agreements that were coming to an end and said goodbye to Cefas as part of our consortium of funders. Nevertheless, Cefas continues as a very active member of our working groups and is, of course, an important component of the MEDIN Data Archive Centres. Seven of our sponsors have now committed to funding MEDIN until April 2024, which provides financial stability, allowing longer-term planning and decreasing the administrative burden. </w:t>
      </w:r>
    </w:p>
    <w:p w14:paraId="66CEC22D" w14:textId="77777777" w:rsidR="0073706F" w:rsidRDefault="0073706F" w:rsidP="0073706F">
      <w:pPr>
        <w:rPr>
          <w:rFonts w:cstheme="minorHAnsi"/>
        </w:rPr>
      </w:pPr>
      <w:r>
        <w:t xml:space="preserve">Our partners are organisations that commit to best practice marine data management and contribute in kind to delivering our vision. This year we </w:t>
      </w:r>
      <w:r w:rsidRPr="00B84064">
        <w:t>welcomed Narwhal Expeditions; SafetyNet Technologies; Plymouth Marine Laboratory and Project SeaGrass as new par</w:t>
      </w:r>
      <w:r>
        <w:t xml:space="preserve">tners, taking the total number of </w:t>
      </w:r>
      <w:r w:rsidRPr="00B47262">
        <w:t>partners to fifty-nine</w:t>
      </w:r>
      <w:r w:rsidRPr="00B47262">
        <w:rPr>
          <w:rFonts w:cstheme="minorHAnsi"/>
        </w:rPr>
        <w:t xml:space="preserve">. </w:t>
      </w:r>
      <w:r>
        <w:rPr>
          <w:rFonts w:cstheme="minorHAnsi"/>
        </w:rPr>
        <w:t xml:space="preserve">See the full list of our partners </w:t>
      </w:r>
      <w:hyperlink r:id="rId95" w:history="1">
        <w:r w:rsidRPr="004E0904">
          <w:rPr>
            <w:rStyle w:val="Hyperlink"/>
            <w:rFonts w:cstheme="minorHAnsi"/>
          </w:rPr>
          <w:t>here</w:t>
        </w:r>
      </w:hyperlink>
      <w:r>
        <w:rPr>
          <w:rFonts w:cstheme="minorHAnsi"/>
        </w:rPr>
        <w:t xml:space="preserve"> and c</w:t>
      </w:r>
      <w:r w:rsidRPr="00B47262">
        <w:rPr>
          <w:rFonts w:cstheme="minorHAnsi"/>
        </w:rPr>
        <w:t>ontact</w:t>
      </w:r>
      <w:r w:rsidRPr="004864A2">
        <w:rPr>
          <w:rFonts w:cstheme="minorHAnsi"/>
        </w:rPr>
        <w:t xml:space="preserve"> </w:t>
      </w:r>
      <w:hyperlink r:id="rId96" w:history="1">
        <w:r w:rsidRPr="00910C91">
          <w:rPr>
            <w:rStyle w:val="Hyperlink"/>
            <w:rFonts w:cstheme="minorHAnsi"/>
            <w:shd w:val="clear" w:color="auto" w:fill="FFFFFF"/>
          </w:rPr>
          <w:t>enquiries@medin.org.uk</w:t>
        </w:r>
      </w:hyperlink>
      <w:r>
        <w:rPr>
          <w:rFonts w:cstheme="minorHAnsi"/>
          <w:color w:val="445A5A"/>
          <w:shd w:val="clear" w:color="auto" w:fill="FFFFFF"/>
        </w:rPr>
        <w:t xml:space="preserve"> </w:t>
      </w:r>
      <w:r w:rsidRPr="004864A2">
        <w:rPr>
          <w:rFonts w:cstheme="minorHAnsi"/>
          <w:color w:val="445A5A"/>
          <w:shd w:val="clear" w:color="auto" w:fill="FFFFFF"/>
        </w:rPr>
        <w:t>i</w:t>
      </w:r>
      <w:r w:rsidRPr="004864A2">
        <w:rPr>
          <w:rFonts w:cstheme="minorHAnsi"/>
        </w:rPr>
        <w:t>f you are interested in sponsoring or partnering MEDIN.</w:t>
      </w:r>
    </w:p>
    <w:p w14:paraId="24FC3062" w14:textId="064325A1" w:rsidR="0073706F" w:rsidRDefault="0073706F" w:rsidP="0073706F">
      <w:pPr>
        <w:pStyle w:val="Heading2"/>
      </w:pPr>
      <w:r>
        <w:t>Challenges and opportunities</w:t>
      </w:r>
    </w:p>
    <w:p w14:paraId="590747F6" w14:textId="5DAC1446" w:rsidR="006B3874" w:rsidRPr="006B3874" w:rsidRDefault="00DF7AF4" w:rsidP="006B3874">
      <w:r>
        <w:t>This year a range of funding opportunities arose from the UK Research and Innovation Research Councils</w:t>
      </w:r>
      <w:r w:rsidR="00267377">
        <w:t>, that aligned with MEDIN’s remit</w:t>
      </w:r>
      <w:r>
        <w:t xml:space="preserve">. </w:t>
      </w:r>
      <w:r w:rsidR="00A97697">
        <w:t xml:space="preserve">MEDIN was approached </w:t>
      </w:r>
      <w:r w:rsidR="00267377">
        <w:t>to provide</w:t>
      </w:r>
      <w:r w:rsidR="00A97697">
        <w:t xml:space="preserve"> letters of support for two proposals this year and has had funded costs included in a further two proposals. Although the first two </w:t>
      </w:r>
      <w:r w:rsidR="00267377">
        <w:t xml:space="preserve">proposals </w:t>
      </w:r>
      <w:r w:rsidR="00A97697">
        <w:t xml:space="preserve">were unsuccessful and the outcome of the latter two is yet unknown, it is </w:t>
      </w:r>
      <w:r w:rsidR="001524E6">
        <w:t xml:space="preserve">reassuring </w:t>
      </w:r>
      <w:r w:rsidR="00A97697">
        <w:t>for MEDIN to be approached</w:t>
      </w:r>
      <w:r w:rsidR="00267377">
        <w:t xml:space="preserve"> in this way and provides </w:t>
      </w:r>
      <w:r w:rsidR="001524E6">
        <w:t xml:space="preserve">evidence </w:t>
      </w:r>
      <w:r w:rsidR="00267377">
        <w:t xml:space="preserve">that there is growing awareness of MEDIN in the broader marine </w:t>
      </w:r>
      <w:r w:rsidR="00DF55BC">
        <w:t xml:space="preserve">research </w:t>
      </w:r>
      <w:r w:rsidR="00267377">
        <w:t>community</w:t>
      </w:r>
      <w:r w:rsidR="00A97697">
        <w:t xml:space="preserve">. </w:t>
      </w:r>
    </w:p>
    <w:p w14:paraId="365ECBCD" w14:textId="0ADC755F" w:rsidR="00531CBD" w:rsidRDefault="00531CBD"/>
    <w:p w14:paraId="468F6A65" w14:textId="06F176F7" w:rsidR="002E3338" w:rsidRDefault="002E3338"/>
    <w:p w14:paraId="786DA623" w14:textId="77777777" w:rsidR="002E3338" w:rsidRDefault="002E3338"/>
    <w:p w14:paraId="62817DCB" w14:textId="11260D3B" w:rsidR="00DD39DD" w:rsidRDefault="00DD39DD">
      <w:r>
        <w:rPr>
          <w:noProof/>
        </w:rPr>
        <w:lastRenderedPageBreak/>
        <w:drawing>
          <wp:inline distT="0" distB="0" distL="0" distR="0" wp14:anchorId="37E6C04A" wp14:editId="1E1B1CA1">
            <wp:extent cx="6203179" cy="8772525"/>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din_infographic_A4.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206182" cy="8776772"/>
                    </a:xfrm>
                    <a:prstGeom prst="rect">
                      <a:avLst/>
                    </a:prstGeom>
                  </pic:spPr>
                </pic:pic>
              </a:graphicData>
            </a:graphic>
          </wp:inline>
        </w:drawing>
      </w:r>
    </w:p>
    <w:p w14:paraId="7BD64182" w14:textId="6C175908" w:rsidR="0047264A" w:rsidRPr="0047264A" w:rsidRDefault="0047264A">
      <w:pPr>
        <w:rPr>
          <w:i/>
          <w:sz w:val="20"/>
          <w:szCs w:val="20"/>
        </w:rPr>
      </w:pPr>
      <w:r w:rsidRPr="0047264A">
        <w:rPr>
          <w:i/>
          <w:sz w:val="20"/>
          <w:szCs w:val="20"/>
        </w:rPr>
        <w:t>Figure 8: Infographic showing the benefits and costs of providing MEDIN’s services as a total 10-year value (2014-24).</w:t>
      </w:r>
    </w:p>
    <w:p w14:paraId="5EB2ACCC" w14:textId="77777777" w:rsidR="0063684A" w:rsidRDefault="007304A8">
      <w:r>
        <w:rPr>
          <w:rFonts w:eastAsia="Times New Roman"/>
          <w:noProof/>
          <w:lang w:eastAsia="en-GB"/>
        </w:rPr>
        <w:lastRenderedPageBreak/>
        <w:drawing>
          <wp:inline distT="0" distB="0" distL="0" distR="0" wp14:anchorId="098CDC87" wp14:editId="524AB69F">
            <wp:extent cx="6600825" cy="1885950"/>
            <wp:effectExtent l="0" t="19050" r="28575" b="57150"/>
            <wp:docPr id="69" name="Diagram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079BED0C" w14:textId="77777777" w:rsidR="0063684A" w:rsidRDefault="0063684A" w:rsidP="006A1D4D">
      <w:pPr>
        <w:jc w:val="center"/>
      </w:pPr>
      <w:r>
        <w:rPr>
          <w:noProof/>
        </w:rPr>
        <w:drawing>
          <wp:inline distT="0" distB="0" distL="0" distR="0" wp14:anchorId="7CA943E3" wp14:editId="049E6676">
            <wp:extent cx="1800000" cy="786230"/>
            <wp:effectExtent l="133350" t="133350" r="124460" b="128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i_logo_886_x_387.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800000" cy="786230"/>
                    </a:xfrm>
                    <a:prstGeom prst="rect">
                      <a:avLst/>
                    </a:prstGeom>
                    <a:ln w="127000">
                      <a:solidFill>
                        <a:schemeClr val="bg1"/>
                      </a:solidFill>
                    </a:ln>
                  </pic:spPr>
                </pic:pic>
              </a:graphicData>
            </a:graphic>
          </wp:inline>
        </w:drawing>
      </w:r>
      <w:r>
        <w:rPr>
          <w:noProof/>
        </w:rPr>
        <w:drawing>
          <wp:inline distT="0" distB="0" distL="0" distR="0" wp14:anchorId="4BCD6E3F" wp14:editId="230B3544">
            <wp:extent cx="1800000" cy="578594"/>
            <wp:effectExtent l="133350" t="133350" r="124460" b="12636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rownestate_logo_2831_x_910.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800000" cy="578594"/>
                    </a:xfrm>
                    <a:prstGeom prst="rect">
                      <a:avLst/>
                    </a:prstGeom>
                    <a:ln w="127000">
                      <a:solidFill>
                        <a:schemeClr val="bg1"/>
                      </a:solidFill>
                    </a:ln>
                  </pic:spPr>
                </pic:pic>
              </a:graphicData>
            </a:graphic>
          </wp:inline>
        </w:drawing>
      </w:r>
      <w:r>
        <w:rPr>
          <w:noProof/>
        </w:rPr>
        <w:drawing>
          <wp:inline distT="0" distB="0" distL="0" distR="0" wp14:anchorId="00072509" wp14:editId="2D2467A5">
            <wp:extent cx="2520000" cy="633684"/>
            <wp:effectExtent l="133350" t="133350" r="128270" b="128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aera_logo.png"/>
                    <pic:cNvPicPr/>
                  </pic:nvPicPr>
                  <pic:blipFill>
                    <a:blip r:embed="rId105">
                      <a:extLst>
                        <a:ext uri="{28A0092B-C50C-407E-A947-70E740481C1C}">
                          <a14:useLocalDpi xmlns:a14="http://schemas.microsoft.com/office/drawing/2010/main" val="0"/>
                        </a:ext>
                      </a:extLst>
                    </a:blip>
                    <a:stretch>
                      <a:fillRect/>
                    </a:stretch>
                  </pic:blipFill>
                  <pic:spPr>
                    <a:xfrm>
                      <a:off x="0" y="0"/>
                      <a:ext cx="2520000" cy="633684"/>
                    </a:xfrm>
                    <a:prstGeom prst="rect">
                      <a:avLst/>
                    </a:prstGeom>
                    <a:ln w="127000">
                      <a:solidFill>
                        <a:schemeClr val="bg1"/>
                      </a:solidFill>
                    </a:ln>
                  </pic:spPr>
                </pic:pic>
              </a:graphicData>
            </a:graphic>
          </wp:inline>
        </w:drawing>
      </w:r>
      <w:r>
        <w:rPr>
          <w:noProof/>
        </w:rPr>
        <w:drawing>
          <wp:inline distT="0" distB="0" distL="0" distR="0" wp14:anchorId="68A8E035" wp14:editId="31AE52BB">
            <wp:extent cx="1355637" cy="720000"/>
            <wp:effectExtent l="133350" t="133350" r="130810" b="13779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detailed-Dept-for-Business-Energy-and-Industrial-Strat_294_AW.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355637" cy="720000"/>
                    </a:xfrm>
                    <a:prstGeom prst="rect">
                      <a:avLst/>
                    </a:prstGeom>
                    <a:ln w="127000">
                      <a:solidFill>
                        <a:schemeClr val="bg1"/>
                      </a:solidFill>
                    </a:ln>
                  </pic:spPr>
                </pic:pic>
              </a:graphicData>
            </a:graphic>
          </wp:inline>
        </w:drawing>
      </w:r>
      <w:r>
        <w:rPr>
          <w:noProof/>
        </w:rPr>
        <w:drawing>
          <wp:inline distT="0" distB="0" distL="0" distR="0" wp14:anchorId="07A8A4FB" wp14:editId="6BCDEAE0">
            <wp:extent cx="1396243" cy="720000"/>
            <wp:effectExtent l="133350" t="133350" r="128270" b="137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efra_logo_1280_x_660.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396243" cy="720000"/>
                    </a:xfrm>
                    <a:prstGeom prst="rect">
                      <a:avLst/>
                    </a:prstGeom>
                    <a:ln w="127000">
                      <a:solidFill>
                        <a:schemeClr val="bg1"/>
                      </a:solidFill>
                    </a:ln>
                  </pic:spPr>
                </pic:pic>
              </a:graphicData>
            </a:graphic>
          </wp:inline>
        </w:drawing>
      </w:r>
      <w:r>
        <w:rPr>
          <w:noProof/>
        </w:rPr>
        <w:drawing>
          <wp:inline distT="0" distB="0" distL="0" distR="0" wp14:anchorId="55B88E55" wp14:editId="24392F91">
            <wp:extent cx="1800000" cy="789407"/>
            <wp:effectExtent l="133350" t="133350" r="124460" b="12509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jncc__logo_472_x_207.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800000" cy="789407"/>
                    </a:xfrm>
                    <a:prstGeom prst="rect">
                      <a:avLst/>
                    </a:prstGeom>
                    <a:ln w="127000">
                      <a:solidFill>
                        <a:schemeClr val="bg1"/>
                      </a:solidFill>
                    </a:ln>
                  </pic:spPr>
                </pic:pic>
              </a:graphicData>
            </a:graphic>
          </wp:inline>
        </w:drawing>
      </w:r>
      <w:r>
        <w:rPr>
          <w:noProof/>
        </w:rPr>
        <w:drawing>
          <wp:inline distT="0" distB="0" distL="0" distR="0" wp14:anchorId="40E29B9A" wp14:editId="50783930">
            <wp:extent cx="936000" cy="936000"/>
            <wp:effectExtent l="133350" t="133350" r="130810" b="130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ca_logo_250_x_250.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a:ln w="127000">
                      <a:solidFill>
                        <a:schemeClr val="bg1"/>
                      </a:solidFill>
                    </a:ln>
                  </pic:spPr>
                </pic:pic>
              </a:graphicData>
            </a:graphic>
          </wp:inline>
        </w:drawing>
      </w:r>
      <w:r>
        <w:rPr>
          <w:noProof/>
        </w:rPr>
        <w:drawing>
          <wp:inline distT="0" distB="0" distL="0" distR="0" wp14:anchorId="2F36C2E6" wp14:editId="62DFD0F0">
            <wp:extent cx="1023961" cy="936000"/>
            <wp:effectExtent l="133350" t="133350" r="138430" b="130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etoffice_logo_454_x_415.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023961" cy="936000"/>
                    </a:xfrm>
                    <a:prstGeom prst="rect">
                      <a:avLst/>
                    </a:prstGeom>
                    <a:ln w="127000">
                      <a:solidFill>
                        <a:schemeClr val="bg1"/>
                      </a:solidFill>
                    </a:ln>
                  </pic:spPr>
                </pic:pic>
              </a:graphicData>
            </a:graphic>
          </wp:inline>
        </w:drawing>
      </w:r>
      <w:r>
        <w:rPr>
          <w:noProof/>
        </w:rPr>
        <w:drawing>
          <wp:inline distT="0" distB="0" distL="0" distR="0" wp14:anchorId="3F5F69CB" wp14:editId="4A6A6C15">
            <wp:extent cx="1343967" cy="936000"/>
            <wp:effectExtent l="133350" t="133350" r="142240" b="130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nerc_logo_817_x_569.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343967" cy="936000"/>
                    </a:xfrm>
                    <a:prstGeom prst="rect">
                      <a:avLst/>
                    </a:prstGeom>
                    <a:ln w="127000">
                      <a:solidFill>
                        <a:schemeClr val="bg1"/>
                      </a:solidFill>
                    </a:ln>
                  </pic:spPr>
                </pic:pic>
              </a:graphicData>
            </a:graphic>
          </wp:inline>
        </w:drawing>
      </w:r>
      <w:r>
        <w:rPr>
          <w:noProof/>
        </w:rPr>
        <w:drawing>
          <wp:inline distT="0" distB="0" distL="0" distR="0" wp14:anchorId="6FC14B93" wp14:editId="657D4075">
            <wp:extent cx="2495659" cy="909955"/>
            <wp:effectExtent l="133350" t="133350" r="133350" b="13779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NOC%20-%2001%20Full%20Colour.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499468" cy="911344"/>
                    </a:xfrm>
                    <a:prstGeom prst="rect">
                      <a:avLst/>
                    </a:prstGeom>
                    <a:ln w="127000">
                      <a:solidFill>
                        <a:schemeClr val="bg1"/>
                      </a:solidFill>
                    </a:ln>
                  </pic:spPr>
                </pic:pic>
              </a:graphicData>
            </a:graphic>
          </wp:inline>
        </w:drawing>
      </w:r>
      <w:r>
        <w:rPr>
          <w:noProof/>
        </w:rPr>
        <w:drawing>
          <wp:inline distT="0" distB="0" distL="0" distR="0" wp14:anchorId="111EC4AA" wp14:editId="646B6068">
            <wp:extent cx="1321843" cy="936000"/>
            <wp:effectExtent l="133350" t="133350" r="126365" b="130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nrw_logo_2333_x_1652.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321843" cy="936000"/>
                    </a:xfrm>
                    <a:prstGeom prst="rect">
                      <a:avLst/>
                    </a:prstGeom>
                    <a:ln w="127000">
                      <a:solidFill>
                        <a:schemeClr val="bg1"/>
                      </a:solidFill>
                    </a:ln>
                  </pic:spPr>
                </pic:pic>
              </a:graphicData>
            </a:graphic>
          </wp:inline>
        </w:drawing>
      </w:r>
      <w:r>
        <w:rPr>
          <w:noProof/>
        </w:rPr>
        <w:drawing>
          <wp:inline distT="0" distB="0" distL="0" distR="0" wp14:anchorId="065E6DE5" wp14:editId="6FAAA42F">
            <wp:extent cx="1800000" cy="964713"/>
            <wp:effectExtent l="133350" t="133350" r="124460" b="1403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ceanwise_logo_1655_x_887.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800000" cy="964713"/>
                    </a:xfrm>
                    <a:prstGeom prst="rect">
                      <a:avLst/>
                    </a:prstGeom>
                    <a:ln w="127000">
                      <a:solidFill>
                        <a:schemeClr val="bg1"/>
                      </a:solidFill>
                    </a:ln>
                  </pic:spPr>
                </pic:pic>
              </a:graphicData>
            </a:graphic>
          </wp:inline>
        </w:drawing>
      </w:r>
      <w:r>
        <w:rPr>
          <w:noProof/>
        </w:rPr>
        <w:drawing>
          <wp:inline distT="0" distB="0" distL="0" distR="0" wp14:anchorId="00698F8C" wp14:editId="6CB493B2">
            <wp:extent cx="936000" cy="1015685"/>
            <wp:effectExtent l="133350" t="133350" r="130810" b="127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ottish_government_logo_2292_x_2487.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936000" cy="1015685"/>
                    </a:xfrm>
                    <a:prstGeom prst="rect">
                      <a:avLst/>
                    </a:prstGeom>
                    <a:ln w="127000">
                      <a:solidFill>
                        <a:schemeClr val="bg1"/>
                      </a:solidFill>
                    </a:ln>
                  </pic:spPr>
                </pic:pic>
              </a:graphicData>
            </a:graphic>
          </wp:inline>
        </w:drawing>
      </w:r>
      <w:r>
        <w:rPr>
          <w:noProof/>
        </w:rPr>
        <w:drawing>
          <wp:inline distT="0" distB="0" distL="0" distR="0" wp14:anchorId="66930973" wp14:editId="31DE7DAF">
            <wp:extent cx="1559901" cy="936000"/>
            <wp:effectExtent l="133350" t="133350" r="135890" b="130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ukho_logo_1000_x_600.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559901" cy="936000"/>
                    </a:xfrm>
                    <a:prstGeom prst="rect">
                      <a:avLst/>
                    </a:prstGeom>
                    <a:ln w="127000">
                      <a:solidFill>
                        <a:schemeClr val="bg1"/>
                      </a:solidFill>
                    </a:ln>
                  </pic:spPr>
                </pic:pic>
              </a:graphicData>
            </a:graphic>
          </wp:inline>
        </w:drawing>
      </w:r>
      <w:r>
        <w:rPr>
          <w:noProof/>
        </w:rPr>
        <w:drawing>
          <wp:inline distT="0" distB="0" distL="0" distR="0" wp14:anchorId="3F88748C" wp14:editId="70EBEDC2">
            <wp:extent cx="936000" cy="889587"/>
            <wp:effectExtent l="133350" t="133350" r="130810" b="13970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G_positive_40mm jpg - logo.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936000" cy="889587"/>
                    </a:xfrm>
                    <a:prstGeom prst="rect">
                      <a:avLst/>
                    </a:prstGeom>
                    <a:ln w="127000">
                      <a:solidFill>
                        <a:schemeClr val="bg1"/>
                      </a:solidFill>
                    </a:ln>
                  </pic:spPr>
                </pic:pic>
              </a:graphicData>
            </a:graphic>
          </wp:inline>
        </w:drawing>
      </w:r>
    </w:p>
    <w:p w14:paraId="03E19E29" w14:textId="77777777" w:rsidR="0063684A" w:rsidRDefault="0063684A"/>
    <w:p w14:paraId="017D323C" w14:textId="53092A80" w:rsidR="00CE1BBB" w:rsidRDefault="004E550C" w:rsidP="006B42D2">
      <w:pPr>
        <w:jc w:val="center"/>
      </w:pPr>
      <w:r>
        <w:t>A list of</w:t>
      </w:r>
      <w:r w:rsidR="00A03145">
        <w:t xml:space="preserve"> </w:t>
      </w:r>
      <w:r w:rsidR="00571F8C">
        <w:t xml:space="preserve">all </w:t>
      </w:r>
      <w:r w:rsidR="00A03145">
        <w:t xml:space="preserve">our partners is available </w:t>
      </w:r>
      <w:hyperlink r:id="rId118" w:history="1">
        <w:r w:rsidR="00A03145" w:rsidRPr="00A03145">
          <w:rPr>
            <w:rStyle w:val="Hyperlink"/>
          </w:rPr>
          <w:t>h</w:t>
        </w:r>
        <w:r w:rsidR="00A03145" w:rsidRPr="00A03145">
          <w:rPr>
            <w:rStyle w:val="Hyperlink"/>
          </w:rPr>
          <w:t>e</w:t>
        </w:r>
        <w:r w:rsidR="00A03145" w:rsidRPr="00A03145">
          <w:rPr>
            <w:rStyle w:val="Hyperlink"/>
          </w:rPr>
          <w:t>re</w:t>
        </w:r>
      </w:hyperlink>
      <w:r w:rsidR="009A4B12">
        <w:rPr>
          <w:rStyle w:val="FootnoteReference"/>
          <w:color w:val="0000FF"/>
          <w:u w:val="single"/>
        </w:rPr>
        <w:footnoteReference w:id="6"/>
      </w:r>
      <w:r w:rsidR="00A03145">
        <w:t>.</w:t>
      </w:r>
    </w:p>
    <w:sectPr w:rsidR="00CE1BBB" w:rsidSect="00575D34">
      <w:headerReference w:type="default" r:id="rId119"/>
      <w:footerReference w:type="default" r:id="rId120"/>
      <w:pgSz w:w="11906" w:h="16838"/>
      <w:pgMar w:top="720" w:right="720" w:bottom="720" w:left="72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97F062" w16cex:dateUtc="2021-07-13T09:58:00Z"/>
  <w16cex:commentExtensible w16cex:durableId="2497F11E" w16cex:dateUtc="2021-07-13T10:01:00Z"/>
  <w16cex:commentExtensible w16cex:durableId="2497F1D7" w16cex:dateUtc="2021-07-13T10:04:00Z"/>
  <w16cex:commentExtensible w16cex:durableId="2497F313" w16cex:dateUtc="2021-07-13T10:10:00Z"/>
  <w16cex:commentExtensible w16cex:durableId="2497F3C9" w16cex:dateUtc="2021-07-13T10:13:00Z"/>
  <w16cex:commentExtensible w16cex:durableId="2497F41C" w16cex:dateUtc="2021-07-13T10:14:00Z"/>
  <w16cex:commentExtensible w16cex:durableId="2497F50D" w16cex:dateUtc="2021-07-13T10:18:00Z"/>
  <w16cex:commentExtensible w16cex:durableId="2497F555" w16cex:dateUtc="2021-07-13T10:19:00Z"/>
  <w16cex:commentExtensible w16cex:durableId="2497F5C9" w16cex:dateUtc="2021-07-13T10:2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C1D81E" w14:textId="77777777" w:rsidR="00AE3924" w:rsidRDefault="00AE3924" w:rsidP="00575D34">
      <w:pPr>
        <w:spacing w:after="0" w:line="240" w:lineRule="auto"/>
      </w:pPr>
      <w:r>
        <w:separator/>
      </w:r>
    </w:p>
  </w:endnote>
  <w:endnote w:type="continuationSeparator" w:id="0">
    <w:p w14:paraId="59701CFF" w14:textId="77777777" w:rsidR="00AE3924" w:rsidRDefault="00AE3924" w:rsidP="00575D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1758094"/>
      <w:docPartObj>
        <w:docPartGallery w:val="Page Numbers (Bottom of Page)"/>
        <w:docPartUnique/>
      </w:docPartObj>
    </w:sdtPr>
    <w:sdtEndPr>
      <w:rPr>
        <w:noProof/>
      </w:rPr>
    </w:sdtEndPr>
    <w:sdtContent>
      <w:p w14:paraId="741D8327" w14:textId="77777777" w:rsidR="00AE3924" w:rsidRDefault="00AE392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3D6A0D" w14:textId="77777777" w:rsidR="00AE3924" w:rsidRDefault="00AE39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9D3DD9" w14:textId="77777777" w:rsidR="00AE3924" w:rsidRDefault="00AE3924" w:rsidP="00575D34">
      <w:pPr>
        <w:spacing w:after="0" w:line="240" w:lineRule="auto"/>
      </w:pPr>
      <w:r>
        <w:separator/>
      </w:r>
    </w:p>
  </w:footnote>
  <w:footnote w:type="continuationSeparator" w:id="0">
    <w:p w14:paraId="7AE06803" w14:textId="77777777" w:rsidR="00AE3924" w:rsidRDefault="00AE3924" w:rsidP="00575D34">
      <w:pPr>
        <w:spacing w:after="0" w:line="240" w:lineRule="auto"/>
      </w:pPr>
      <w:r>
        <w:continuationSeparator/>
      </w:r>
    </w:p>
  </w:footnote>
  <w:footnote w:id="1">
    <w:p w14:paraId="02856237" w14:textId="3FF0498F" w:rsidR="00AE3924" w:rsidRDefault="00AE3924" w:rsidP="00DB6605">
      <w:pPr>
        <w:pStyle w:val="FootnoteText"/>
      </w:pPr>
      <w:r>
        <w:rPr>
          <w:rStyle w:val="FootnoteReference"/>
        </w:rPr>
        <w:footnoteRef/>
      </w:r>
      <w:r>
        <w:t xml:space="preserve"> We were unable to capture the number of users of the Data Archive Centres and so this figure significantly underestimates the number of users of MEDIN tools and services. The decrease in the number of users of MEDIN’s services from 2020 to 2021 is partially due to the metrics being used as a proxy for this KPI (in particular, the annual number of downloads of data guidelines and the metadata standard do not capture existing users who have downloaded these resources in previous years). In 2020, the average monthly number of users of the MEDIN portal was higher than usual, linked to an increase in users from China.  </w:t>
      </w:r>
    </w:p>
  </w:footnote>
  <w:footnote w:id="2">
    <w:p w14:paraId="4F274F49" w14:textId="24242770" w:rsidR="00AE3924" w:rsidRDefault="00AE3924">
      <w:pPr>
        <w:pStyle w:val="FootnoteText"/>
      </w:pPr>
      <w:r>
        <w:rPr>
          <w:rStyle w:val="FootnoteReference"/>
        </w:rPr>
        <w:t>*</w:t>
      </w:r>
      <w:r>
        <w:t xml:space="preserve"> available from a MEDIN Data Archive Centre</w:t>
      </w:r>
    </w:p>
  </w:footnote>
  <w:footnote w:id="3">
    <w:p w14:paraId="38C1ACE9" w14:textId="77777777" w:rsidR="00AE3924" w:rsidRPr="00F70D1B" w:rsidRDefault="00AE3924">
      <w:pPr>
        <w:pStyle w:val="FootnoteText"/>
        <w:rPr>
          <w:rFonts w:ascii="Times New Roman" w:eastAsia="Times New Roman" w:hAnsi="Times New Roman" w:cs="Times New Roman"/>
          <w:sz w:val="18"/>
          <w:szCs w:val="18"/>
        </w:rPr>
      </w:pPr>
      <w:r w:rsidRPr="00F70D1B">
        <w:rPr>
          <w:rStyle w:val="FootnoteReference"/>
          <w:sz w:val="18"/>
          <w:szCs w:val="18"/>
        </w:rPr>
        <w:footnoteRef/>
      </w:r>
      <w:r w:rsidRPr="00F70D1B">
        <w:rPr>
          <w:sz w:val="18"/>
          <w:szCs w:val="18"/>
        </w:rPr>
        <w:t xml:space="preserve"> £6,600 for 2020-2 to be paid in next financial year.</w:t>
      </w:r>
    </w:p>
  </w:footnote>
  <w:footnote w:id="4">
    <w:p w14:paraId="7223ED7D" w14:textId="5CF612BB" w:rsidR="00AE3924" w:rsidRPr="00F70D1B" w:rsidRDefault="00AE3924">
      <w:pPr>
        <w:pStyle w:val="FootnoteText"/>
        <w:rPr>
          <w:rFonts w:ascii="Times New Roman" w:hAnsi="Times New Roman" w:cs="Times New Roman"/>
          <w:sz w:val="18"/>
          <w:szCs w:val="18"/>
        </w:rPr>
      </w:pPr>
      <w:r w:rsidRPr="00F70D1B">
        <w:rPr>
          <w:rStyle w:val="FootnoteReference"/>
          <w:sz w:val="18"/>
          <w:szCs w:val="18"/>
        </w:rPr>
        <w:footnoteRef/>
      </w:r>
      <w:r w:rsidRPr="00F70D1B">
        <w:rPr>
          <w:sz w:val="18"/>
          <w:szCs w:val="18"/>
        </w:rPr>
        <w:t xml:space="preserve"> £9,420 to be paid in next financial year when work is finalised.</w:t>
      </w:r>
    </w:p>
  </w:footnote>
  <w:footnote w:id="5">
    <w:p w14:paraId="3AF126E1" w14:textId="77777777" w:rsidR="00AE3924" w:rsidRDefault="00AE3924">
      <w:pPr>
        <w:pStyle w:val="FootnoteText"/>
        <w:rPr>
          <w:rFonts w:ascii="Times New Roman" w:hAnsi="Times New Roman" w:cs="Times New Roman"/>
        </w:rPr>
      </w:pPr>
      <w:r w:rsidRPr="00F70D1B">
        <w:rPr>
          <w:rStyle w:val="FootnoteReference"/>
          <w:sz w:val="18"/>
          <w:szCs w:val="18"/>
        </w:rPr>
        <w:footnoteRef/>
      </w:r>
      <w:r w:rsidRPr="00F70D1B">
        <w:rPr>
          <w:sz w:val="18"/>
          <w:szCs w:val="18"/>
        </w:rPr>
        <w:t xml:space="preserve"> £12,524 to be paid in next financial year when work is finalised.</w:t>
      </w:r>
    </w:p>
  </w:footnote>
  <w:footnote w:id="6">
    <w:p w14:paraId="21B04120" w14:textId="41476E9B" w:rsidR="009A4B12" w:rsidRPr="00E31F02" w:rsidRDefault="009A4B12">
      <w:pPr>
        <w:pStyle w:val="FootnoteText"/>
        <w:rPr>
          <w:lang w:val="en-US"/>
        </w:rPr>
      </w:pPr>
      <w:r>
        <w:rPr>
          <w:rStyle w:val="FootnoteReference"/>
        </w:rPr>
        <w:footnoteRef/>
      </w:r>
      <w:r w:rsidRPr="009A4B12">
        <w:rPr>
          <w:lang w:val="en-US"/>
        </w:rPr>
        <w:t>https://medin.org.uk/about/sponsors-and-partners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50C2F" w14:textId="77777777" w:rsidR="00AE3924" w:rsidRDefault="00AE3924" w:rsidP="00575D34">
    <w:pPr>
      <w:pStyle w:val="Header"/>
      <w:jc w:val="right"/>
    </w:pPr>
    <w:r>
      <w:t>MEDIN Annual Report 2020-2021</w:t>
    </w:r>
  </w:p>
  <w:p w14:paraId="0F8132D4" w14:textId="77777777" w:rsidR="00AE3924" w:rsidRDefault="00AE39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52B27"/>
    <w:multiLevelType w:val="hybridMultilevel"/>
    <w:tmpl w:val="83FAB654"/>
    <w:lvl w:ilvl="0" w:tplc="6BAC3A46">
      <w:start w:val="1"/>
      <w:numFmt w:val="bullet"/>
      <w:lvlText w:val="•"/>
      <w:lvlJc w:val="left"/>
      <w:pPr>
        <w:tabs>
          <w:tab w:val="num" w:pos="720"/>
        </w:tabs>
        <w:ind w:left="720" w:hanging="360"/>
      </w:pPr>
      <w:rPr>
        <w:rFonts w:ascii="Times New Roman" w:hAnsi="Times New Roman" w:hint="default"/>
      </w:rPr>
    </w:lvl>
    <w:lvl w:ilvl="1" w:tplc="E3888B24" w:tentative="1">
      <w:start w:val="1"/>
      <w:numFmt w:val="bullet"/>
      <w:lvlText w:val="•"/>
      <w:lvlJc w:val="left"/>
      <w:pPr>
        <w:tabs>
          <w:tab w:val="num" w:pos="1440"/>
        </w:tabs>
        <w:ind w:left="1440" w:hanging="360"/>
      </w:pPr>
      <w:rPr>
        <w:rFonts w:ascii="Times New Roman" w:hAnsi="Times New Roman" w:hint="default"/>
      </w:rPr>
    </w:lvl>
    <w:lvl w:ilvl="2" w:tplc="82AC802C" w:tentative="1">
      <w:start w:val="1"/>
      <w:numFmt w:val="bullet"/>
      <w:lvlText w:val="•"/>
      <w:lvlJc w:val="left"/>
      <w:pPr>
        <w:tabs>
          <w:tab w:val="num" w:pos="2160"/>
        </w:tabs>
        <w:ind w:left="2160" w:hanging="360"/>
      </w:pPr>
      <w:rPr>
        <w:rFonts w:ascii="Times New Roman" w:hAnsi="Times New Roman" w:hint="default"/>
      </w:rPr>
    </w:lvl>
    <w:lvl w:ilvl="3" w:tplc="892A8094" w:tentative="1">
      <w:start w:val="1"/>
      <w:numFmt w:val="bullet"/>
      <w:lvlText w:val="•"/>
      <w:lvlJc w:val="left"/>
      <w:pPr>
        <w:tabs>
          <w:tab w:val="num" w:pos="2880"/>
        </w:tabs>
        <w:ind w:left="2880" w:hanging="360"/>
      </w:pPr>
      <w:rPr>
        <w:rFonts w:ascii="Times New Roman" w:hAnsi="Times New Roman" w:hint="default"/>
      </w:rPr>
    </w:lvl>
    <w:lvl w:ilvl="4" w:tplc="367483F2" w:tentative="1">
      <w:start w:val="1"/>
      <w:numFmt w:val="bullet"/>
      <w:lvlText w:val="•"/>
      <w:lvlJc w:val="left"/>
      <w:pPr>
        <w:tabs>
          <w:tab w:val="num" w:pos="3600"/>
        </w:tabs>
        <w:ind w:left="3600" w:hanging="360"/>
      </w:pPr>
      <w:rPr>
        <w:rFonts w:ascii="Times New Roman" w:hAnsi="Times New Roman" w:hint="default"/>
      </w:rPr>
    </w:lvl>
    <w:lvl w:ilvl="5" w:tplc="53A2C986" w:tentative="1">
      <w:start w:val="1"/>
      <w:numFmt w:val="bullet"/>
      <w:lvlText w:val="•"/>
      <w:lvlJc w:val="left"/>
      <w:pPr>
        <w:tabs>
          <w:tab w:val="num" w:pos="4320"/>
        </w:tabs>
        <w:ind w:left="4320" w:hanging="360"/>
      </w:pPr>
      <w:rPr>
        <w:rFonts w:ascii="Times New Roman" w:hAnsi="Times New Roman" w:hint="default"/>
      </w:rPr>
    </w:lvl>
    <w:lvl w:ilvl="6" w:tplc="BF70E17A" w:tentative="1">
      <w:start w:val="1"/>
      <w:numFmt w:val="bullet"/>
      <w:lvlText w:val="•"/>
      <w:lvlJc w:val="left"/>
      <w:pPr>
        <w:tabs>
          <w:tab w:val="num" w:pos="5040"/>
        </w:tabs>
        <w:ind w:left="5040" w:hanging="360"/>
      </w:pPr>
      <w:rPr>
        <w:rFonts w:ascii="Times New Roman" w:hAnsi="Times New Roman" w:hint="default"/>
      </w:rPr>
    </w:lvl>
    <w:lvl w:ilvl="7" w:tplc="C6AEA59A" w:tentative="1">
      <w:start w:val="1"/>
      <w:numFmt w:val="bullet"/>
      <w:lvlText w:val="•"/>
      <w:lvlJc w:val="left"/>
      <w:pPr>
        <w:tabs>
          <w:tab w:val="num" w:pos="5760"/>
        </w:tabs>
        <w:ind w:left="5760" w:hanging="360"/>
      </w:pPr>
      <w:rPr>
        <w:rFonts w:ascii="Times New Roman" w:hAnsi="Times New Roman" w:hint="default"/>
      </w:rPr>
    </w:lvl>
    <w:lvl w:ilvl="8" w:tplc="88F48D7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7370A63"/>
    <w:multiLevelType w:val="hybridMultilevel"/>
    <w:tmpl w:val="76D2D8E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0C986244"/>
    <w:multiLevelType w:val="hybridMultilevel"/>
    <w:tmpl w:val="87068640"/>
    <w:lvl w:ilvl="0" w:tplc="49C0CF34">
      <w:start w:val="5"/>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6B4FE9"/>
    <w:multiLevelType w:val="hybridMultilevel"/>
    <w:tmpl w:val="448E9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8715C7"/>
    <w:multiLevelType w:val="hybridMultilevel"/>
    <w:tmpl w:val="BF6661AA"/>
    <w:lvl w:ilvl="0" w:tplc="0809000F">
      <w:start w:val="1"/>
      <w:numFmt w:val="decimal"/>
      <w:lvlText w:val="%1."/>
      <w:lvlJc w:val="left"/>
      <w:pPr>
        <w:tabs>
          <w:tab w:val="num" w:pos="360"/>
        </w:tabs>
        <w:ind w:left="360" w:hanging="360"/>
      </w:pPr>
    </w:lvl>
    <w:lvl w:ilvl="1" w:tplc="08090001">
      <w:start w:val="1"/>
      <w:numFmt w:val="bullet"/>
      <w:lvlText w:val=""/>
      <w:lvlJc w:val="left"/>
      <w:pPr>
        <w:tabs>
          <w:tab w:val="num" w:pos="1080"/>
        </w:tabs>
        <w:ind w:left="1080" w:hanging="360"/>
      </w:pPr>
      <w:rPr>
        <w:rFonts w:ascii="Symbol" w:hAnsi="Symbol" w:hint="default"/>
      </w:rPr>
    </w:lvl>
    <w:lvl w:ilvl="2" w:tplc="0809001B">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11924C02"/>
    <w:multiLevelType w:val="hybridMultilevel"/>
    <w:tmpl w:val="AC0CE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BD1F0A"/>
    <w:multiLevelType w:val="hybridMultilevel"/>
    <w:tmpl w:val="DDD6FB98"/>
    <w:lvl w:ilvl="0" w:tplc="823E1EC8">
      <w:start w:val="1"/>
      <w:numFmt w:val="bullet"/>
      <w:lvlText w:val="•"/>
      <w:lvlJc w:val="left"/>
      <w:pPr>
        <w:tabs>
          <w:tab w:val="num" w:pos="720"/>
        </w:tabs>
        <w:ind w:left="720" w:hanging="360"/>
      </w:pPr>
      <w:rPr>
        <w:rFonts w:ascii="Times New Roman" w:hAnsi="Times New Roman" w:hint="default"/>
      </w:rPr>
    </w:lvl>
    <w:lvl w:ilvl="1" w:tplc="30A6BE0E" w:tentative="1">
      <w:start w:val="1"/>
      <w:numFmt w:val="bullet"/>
      <w:lvlText w:val="•"/>
      <w:lvlJc w:val="left"/>
      <w:pPr>
        <w:tabs>
          <w:tab w:val="num" w:pos="1440"/>
        </w:tabs>
        <w:ind w:left="1440" w:hanging="360"/>
      </w:pPr>
      <w:rPr>
        <w:rFonts w:ascii="Times New Roman" w:hAnsi="Times New Roman" w:hint="default"/>
      </w:rPr>
    </w:lvl>
    <w:lvl w:ilvl="2" w:tplc="AFEA2B38" w:tentative="1">
      <w:start w:val="1"/>
      <w:numFmt w:val="bullet"/>
      <w:lvlText w:val="•"/>
      <w:lvlJc w:val="left"/>
      <w:pPr>
        <w:tabs>
          <w:tab w:val="num" w:pos="2160"/>
        </w:tabs>
        <w:ind w:left="2160" w:hanging="360"/>
      </w:pPr>
      <w:rPr>
        <w:rFonts w:ascii="Times New Roman" w:hAnsi="Times New Roman" w:hint="default"/>
      </w:rPr>
    </w:lvl>
    <w:lvl w:ilvl="3" w:tplc="473ADA04" w:tentative="1">
      <w:start w:val="1"/>
      <w:numFmt w:val="bullet"/>
      <w:lvlText w:val="•"/>
      <w:lvlJc w:val="left"/>
      <w:pPr>
        <w:tabs>
          <w:tab w:val="num" w:pos="2880"/>
        </w:tabs>
        <w:ind w:left="2880" w:hanging="360"/>
      </w:pPr>
      <w:rPr>
        <w:rFonts w:ascii="Times New Roman" w:hAnsi="Times New Roman" w:hint="default"/>
      </w:rPr>
    </w:lvl>
    <w:lvl w:ilvl="4" w:tplc="5C84C936" w:tentative="1">
      <w:start w:val="1"/>
      <w:numFmt w:val="bullet"/>
      <w:lvlText w:val="•"/>
      <w:lvlJc w:val="left"/>
      <w:pPr>
        <w:tabs>
          <w:tab w:val="num" w:pos="3600"/>
        </w:tabs>
        <w:ind w:left="3600" w:hanging="360"/>
      </w:pPr>
      <w:rPr>
        <w:rFonts w:ascii="Times New Roman" w:hAnsi="Times New Roman" w:hint="default"/>
      </w:rPr>
    </w:lvl>
    <w:lvl w:ilvl="5" w:tplc="CC36CA22" w:tentative="1">
      <w:start w:val="1"/>
      <w:numFmt w:val="bullet"/>
      <w:lvlText w:val="•"/>
      <w:lvlJc w:val="left"/>
      <w:pPr>
        <w:tabs>
          <w:tab w:val="num" w:pos="4320"/>
        </w:tabs>
        <w:ind w:left="4320" w:hanging="360"/>
      </w:pPr>
      <w:rPr>
        <w:rFonts w:ascii="Times New Roman" w:hAnsi="Times New Roman" w:hint="default"/>
      </w:rPr>
    </w:lvl>
    <w:lvl w:ilvl="6" w:tplc="060C77BC" w:tentative="1">
      <w:start w:val="1"/>
      <w:numFmt w:val="bullet"/>
      <w:lvlText w:val="•"/>
      <w:lvlJc w:val="left"/>
      <w:pPr>
        <w:tabs>
          <w:tab w:val="num" w:pos="5040"/>
        </w:tabs>
        <w:ind w:left="5040" w:hanging="360"/>
      </w:pPr>
      <w:rPr>
        <w:rFonts w:ascii="Times New Roman" w:hAnsi="Times New Roman" w:hint="default"/>
      </w:rPr>
    </w:lvl>
    <w:lvl w:ilvl="7" w:tplc="07407CE6" w:tentative="1">
      <w:start w:val="1"/>
      <w:numFmt w:val="bullet"/>
      <w:lvlText w:val="•"/>
      <w:lvlJc w:val="left"/>
      <w:pPr>
        <w:tabs>
          <w:tab w:val="num" w:pos="5760"/>
        </w:tabs>
        <w:ind w:left="5760" w:hanging="360"/>
      </w:pPr>
      <w:rPr>
        <w:rFonts w:ascii="Times New Roman" w:hAnsi="Times New Roman" w:hint="default"/>
      </w:rPr>
    </w:lvl>
    <w:lvl w:ilvl="8" w:tplc="DFA0A0B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5A474AB"/>
    <w:multiLevelType w:val="hybridMultilevel"/>
    <w:tmpl w:val="06D0B3B8"/>
    <w:lvl w:ilvl="0" w:tplc="1A52160C">
      <w:start w:val="1"/>
      <w:numFmt w:val="bullet"/>
      <w:lvlText w:val="•"/>
      <w:lvlJc w:val="left"/>
      <w:pPr>
        <w:tabs>
          <w:tab w:val="num" w:pos="720"/>
        </w:tabs>
        <w:ind w:left="720" w:hanging="360"/>
      </w:pPr>
      <w:rPr>
        <w:rFonts w:ascii="Times New Roman" w:hAnsi="Times New Roman" w:hint="default"/>
      </w:rPr>
    </w:lvl>
    <w:lvl w:ilvl="1" w:tplc="49442A9C" w:tentative="1">
      <w:start w:val="1"/>
      <w:numFmt w:val="bullet"/>
      <w:lvlText w:val="•"/>
      <w:lvlJc w:val="left"/>
      <w:pPr>
        <w:tabs>
          <w:tab w:val="num" w:pos="1440"/>
        </w:tabs>
        <w:ind w:left="1440" w:hanging="360"/>
      </w:pPr>
      <w:rPr>
        <w:rFonts w:ascii="Times New Roman" w:hAnsi="Times New Roman" w:hint="default"/>
      </w:rPr>
    </w:lvl>
    <w:lvl w:ilvl="2" w:tplc="276015EE" w:tentative="1">
      <w:start w:val="1"/>
      <w:numFmt w:val="bullet"/>
      <w:lvlText w:val="•"/>
      <w:lvlJc w:val="left"/>
      <w:pPr>
        <w:tabs>
          <w:tab w:val="num" w:pos="2160"/>
        </w:tabs>
        <w:ind w:left="2160" w:hanging="360"/>
      </w:pPr>
      <w:rPr>
        <w:rFonts w:ascii="Times New Roman" w:hAnsi="Times New Roman" w:hint="default"/>
      </w:rPr>
    </w:lvl>
    <w:lvl w:ilvl="3" w:tplc="B3D69EB4" w:tentative="1">
      <w:start w:val="1"/>
      <w:numFmt w:val="bullet"/>
      <w:lvlText w:val="•"/>
      <w:lvlJc w:val="left"/>
      <w:pPr>
        <w:tabs>
          <w:tab w:val="num" w:pos="2880"/>
        </w:tabs>
        <w:ind w:left="2880" w:hanging="360"/>
      </w:pPr>
      <w:rPr>
        <w:rFonts w:ascii="Times New Roman" w:hAnsi="Times New Roman" w:hint="default"/>
      </w:rPr>
    </w:lvl>
    <w:lvl w:ilvl="4" w:tplc="DB6AEDDC" w:tentative="1">
      <w:start w:val="1"/>
      <w:numFmt w:val="bullet"/>
      <w:lvlText w:val="•"/>
      <w:lvlJc w:val="left"/>
      <w:pPr>
        <w:tabs>
          <w:tab w:val="num" w:pos="3600"/>
        </w:tabs>
        <w:ind w:left="3600" w:hanging="360"/>
      </w:pPr>
      <w:rPr>
        <w:rFonts w:ascii="Times New Roman" w:hAnsi="Times New Roman" w:hint="default"/>
      </w:rPr>
    </w:lvl>
    <w:lvl w:ilvl="5" w:tplc="93B06F3C" w:tentative="1">
      <w:start w:val="1"/>
      <w:numFmt w:val="bullet"/>
      <w:lvlText w:val="•"/>
      <w:lvlJc w:val="left"/>
      <w:pPr>
        <w:tabs>
          <w:tab w:val="num" w:pos="4320"/>
        </w:tabs>
        <w:ind w:left="4320" w:hanging="360"/>
      </w:pPr>
      <w:rPr>
        <w:rFonts w:ascii="Times New Roman" w:hAnsi="Times New Roman" w:hint="default"/>
      </w:rPr>
    </w:lvl>
    <w:lvl w:ilvl="6" w:tplc="DB72544A" w:tentative="1">
      <w:start w:val="1"/>
      <w:numFmt w:val="bullet"/>
      <w:lvlText w:val="•"/>
      <w:lvlJc w:val="left"/>
      <w:pPr>
        <w:tabs>
          <w:tab w:val="num" w:pos="5040"/>
        </w:tabs>
        <w:ind w:left="5040" w:hanging="360"/>
      </w:pPr>
      <w:rPr>
        <w:rFonts w:ascii="Times New Roman" w:hAnsi="Times New Roman" w:hint="default"/>
      </w:rPr>
    </w:lvl>
    <w:lvl w:ilvl="7" w:tplc="F96C2FD4" w:tentative="1">
      <w:start w:val="1"/>
      <w:numFmt w:val="bullet"/>
      <w:lvlText w:val="•"/>
      <w:lvlJc w:val="left"/>
      <w:pPr>
        <w:tabs>
          <w:tab w:val="num" w:pos="5760"/>
        </w:tabs>
        <w:ind w:left="5760" w:hanging="360"/>
      </w:pPr>
      <w:rPr>
        <w:rFonts w:ascii="Times New Roman" w:hAnsi="Times New Roman" w:hint="default"/>
      </w:rPr>
    </w:lvl>
    <w:lvl w:ilvl="8" w:tplc="56102AB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F3E4563"/>
    <w:multiLevelType w:val="multilevel"/>
    <w:tmpl w:val="5EF2C074"/>
    <w:lvl w:ilvl="0">
      <w:start w:val="1"/>
      <w:numFmt w:val="decimal"/>
      <w:pStyle w:val="Heading1"/>
      <w:lvlText w:val="%1"/>
      <w:lvlJc w:val="left"/>
      <w:pPr>
        <w:tabs>
          <w:tab w:val="num" w:pos="0"/>
        </w:tabs>
        <w:ind w:left="432" w:hanging="432"/>
      </w:pPr>
      <w:rPr>
        <w:rFonts w:cs="Times New Roman" w:hint="default"/>
      </w:rPr>
    </w:lvl>
    <w:lvl w:ilvl="1">
      <w:start w:val="1"/>
      <w:numFmt w:val="decimal"/>
      <w:lvlText w:val="%1.%2"/>
      <w:lvlJc w:val="left"/>
      <w:pPr>
        <w:tabs>
          <w:tab w:val="num" w:pos="0"/>
        </w:tabs>
        <w:ind w:left="576" w:hanging="576"/>
      </w:pPr>
      <w:rPr>
        <w:rFonts w:cs="Times New Roman" w:hint="default"/>
        <w:b w:val="0"/>
        <w:i w:val="0"/>
        <w:color w:val="auto"/>
        <w:sz w:val="22"/>
        <w:szCs w:val="22"/>
      </w:rPr>
    </w:lvl>
    <w:lvl w:ilvl="2">
      <w:start w:val="1"/>
      <w:numFmt w:val="bullet"/>
      <w:lvlText w:val=""/>
      <w:lvlJc w:val="left"/>
      <w:pPr>
        <w:tabs>
          <w:tab w:val="num" w:pos="0"/>
        </w:tabs>
        <w:ind w:left="720" w:hanging="720"/>
      </w:pPr>
      <w:rPr>
        <w:rFonts w:ascii="Wingdings" w:hAnsi="Wingdings" w:hint="default"/>
      </w:rPr>
    </w:lvl>
    <w:lvl w:ilvl="3">
      <w:start w:val="1"/>
      <w:numFmt w:val="decimal"/>
      <w:lvlText w:val="%1.%2.%3.%4"/>
      <w:lvlJc w:val="left"/>
      <w:pPr>
        <w:tabs>
          <w:tab w:val="num" w:pos="0"/>
        </w:tabs>
        <w:ind w:left="864" w:hanging="864"/>
      </w:pPr>
      <w:rPr>
        <w:rFonts w:cs="Times New Roman" w:hint="default"/>
      </w:rPr>
    </w:lvl>
    <w:lvl w:ilvl="4">
      <w:start w:val="1"/>
      <w:numFmt w:val="decimal"/>
      <w:lvlText w:val="%1.%2.%3.%4.%5"/>
      <w:lvlJc w:val="left"/>
      <w:pPr>
        <w:tabs>
          <w:tab w:val="num" w:pos="0"/>
        </w:tabs>
        <w:ind w:left="1008" w:hanging="1008"/>
      </w:pPr>
      <w:rPr>
        <w:rFonts w:cs="Times New Roman" w:hint="default"/>
      </w:rPr>
    </w:lvl>
    <w:lvl w:ilvl="5">
      <w:start w:val="1"/>
      <w:numFmt w:val="decimal"/>
      <w:lvlText w:val="%1.%2.%3.%4.%5.%6"/>
      <w:lvlJc w:val="left"/>
      <w:pPr>
        <w:tabs>
          <w:tab w:val="num" w:pos="0"/>
        </w:tabs>
        <w:ind w:left="1152" w:hanging="1152"/>
      </w:pPr>
      <w:rPr>
        <w:rFonts w:cs="Times New Roman" w:hint="default"/>
      </w:rPr>
    </w:lvl>
    <w:lvl w:ilvl="6">
      <w:start w:val="1"/>
      <w:numFmt w:val="decimal"/>
      <w:lvlText w:val="%1.%2.%3.%4.%5.%6.%7"/>
      <w:lvlJc w:val="left"/>
      <w:pPr>
        <w:tabs>
          <w:tab w:val="num" w:pos="0"/>
        </w:tabs>
        <w:ind w:left="1296" w:hanging="1296"/>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584" w:hanging="1584"/>
      </w:pPr>
      <w:rPr>
        <w:rFonts w:cs="Times New Roman" w:hint="default"/>
      </w:rPr>
    </w:lvl>
  </w:abstractNum>
  <w:abstractNum w:abstractNumId="9" w15:restartNumberingAfterBreak="0">
    <w:nsid w:val="20D379A2"/>
    <w:multiLevelType w:val="multilevel"/>
    <w:tmpl w:val="216C89A4"/>
    <w:lvl w:ilvl="0">
      <w:start w:val="1"/>
      <w:numFmt w:val="decimal"/>
      <w:lvlText w:val="%1."/>
      <w:lvlJc w:val="left"/>
      <w:pPr>
        <w:tabs>
          <w:tab w:val="num" w:pos="360"/>
        </w:tabs>
        <w:ind w:left="0" w:firstLine="0"/>
      </w:pPr>
      <w:rPr>
        <w:rFonts w:ascii="Times New Roman" w:hAnsi="Times New Roman" w:cs="Times New Roman" w:hint="default"/>
        <w:b/>
        <w:i w:val="0"/>
        <w:sz w:val="28"/>
      </w:rPr>
    </w:lvl>
    <w:lvl w:ilvl="1">
      <w:start w:val="1"/>
      <w:numFmt w:val="decimal"/>
      <w:lvlRestart w:val="0"/>
      <w:pStyle w:val="NumPara4"/>
      <w:lvlText w:val="5.%2"/>
      <w:lvlJc w:val="left"/>
      <w:pPr>
        <w:tabs>
          <w:tab w:val="num" w:pos="360"/>
        </w:tabs>
        <w:ind w:left="0" w:firstLine="0"/>
      </w:pPr>
      <w:rPr>
        <w:rFonts w:ascii="Arial" w:hAnsi="Arial" w:cs="Times New Roman" w:hint="default"/>
        <w:b w:val="0"/>
        <w:i w:val="0"/>
        <w:sz w:val="22"/>
      </w:rPr>
    </w:lvl>
    <w:lvl w:ilvl="2">
      <w:start w:val="1"/>
      <w:numFmt w:val="bullet"/>
      <w:lvlText w:val=""/>
      <w:lvlJc w:val="left"/>
      <w:pPr>
        <w:tabs>
          <w:tab w:val="num" w:pos="1134"/>
        </w:tabs>
        <w:ind w:left="1134" w:hanging="851"/>
      </w:pPr>
      <w:rPr>
        <w:rFonts w:ascii="Symbol" w:hAnsi="Symbol" w:hint="default"/>
        <w:b w:val="0"/>
        <w:i w:val="0"/>
        <w:color w:val="auto"/>
        <w:sz w:val="24"/>
      </w:rPr>
    </w:lvl>
    <w:lvl w:ilvl="3">
      <w:start w:val="1"/>
      <w:numFmt w:val="bullet"/>
      <w:lvlText w:val=""/>
      <w:lvlJc w:val="left"/>
      <w:pPr>
        <w:tabs>
          <w:tab w:val="num" w:pos="1417"/>
        </w:tabs>
        <w:ind w:left="1417" w:hanging="680"/>
      </w:pPr>
      <w:rPr>
        <w:rFonts w:ascii="Symbol" w:hAnsi="Symbol" w:hint="default"/>
        <w:color w:val="auto"/>
      </w:rPr>
    </w:lvl>
    <w:lvl w:ilvl="4">
      <w:start w:val="1"/>
      <w:numFmt w:val="decimal"/>
      <w:lvlText w:val="%1.%2.%3.%4.%5."/>
      <w:lvlJc w:val="left"/>
      <w:pPr>
        <w:tabs>
          <w:tab w:val="num" w:pos="2160"/>
        </w:tabs>
        <w:ind w:left="1872" w:hanging="792"/>
      </w:pPr>
      <w:rPr>
        <w:rFonts w:cs="Times New Roman"/>
      </w:rPr>
    </w:lvl>
    <w:lvl w:ilvl="5">
      <w:start w:val="1"/>
      <w:numFmt w:val="decimal"/>
      <w:lvlText w:val="%5%2%1..%3.%4..%6."/>
      <w:lvlJc w:val="left"/>
      <w:pPr>
        <w:tabs>
          <w:tab w:val="num" w:pos="2880"/>
        </w:tabs>
        <w:ind w:left="2376" w:hanging="936"/>
      </w:pPr>
      <w:rPr>
        <w:rFonts w:cs="Times New Roman"/>
      </w:rPr>
    </w:lvl>
    <w:lvl w:ilvl="6">
      <w:start w:val="1"/>
      <w:numFmt w:val="decimal"/>
      <w:lvlText w:val="%1.%2.%3.%4.%5.%6.%7."/>
      <w:lvlJc w:val="left"/>
      <w:pPr>
        <w:tabs>
          <w:tab w:val="num" w:pos="3600"/>
        </w:tabs>
        <w:ind w:left="2880" w:hanging="1080"/>
      </w:pPr>
      <w:rPr>
        <w:rFonts w:cs="Times New Roman"/>
      </w:rPr>
    </w:lvl>
    <w:lvl w:ilvl="7">
      <w:start w:val="1"/>
      <w:numFmt w:val="decimal"/>
      <w:lvlText w:val="%1.%2.%3.%4.%5.%6.%7.%8."/>
      <w:lvlJc w:val="left"/>
      <w:pPr>
        <w:tabs>
          <w:tab w:val="num" w:pos="3960"/>
        </w:tabs>
        <w:ind w:left="3384" w:hanging="1224"/>
      </w:pPr>
      <w:rPr>
        <w:rFonts w:cs="Times New Roman"/>
      </w:rPr>
    </w:lvl>
    <w:lvl w:ilvl="8">
      <w:start w:val="1"/>
      <w:numFmt w:val="decimal"/>
      <w:lvlText w:val="%1.%2.%3.%4.%5.%6.%7.%8.%9."/>
      <w:lvlJc w:val="left"/>
      <w:pPr>
        <w:tabs>
          <w:tab w:val="num" w:pos="4680"/>
        </w:tabs>
        <w:ind w:left="3960" w:hanging="1440"/>
      </w:pPr>
      <w:rPr>
        <w:rFonts w:cs="Times New Roman"/>
      </w:rPr>
    </w:lvl>
  </w:abstractNum>
  <w:abstractNum w:abstractNumId="10" w15:restartNumberingAfterBreak="0">
    <w:nsid w:val="22845362"/>
    <w:multiLevelType w:val="hybridMultilevel"/>
    <w:tmpl w:val="48C04F7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D90BD8"/>
    <w:multiLevelType w:val="hybridMultilevel"/>
    <w:tmpl w:val="F836F122"/>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2" w15:restartNumberingAfterBreak="0">
    <w:nsid w:val="376B5450"/>
    <w:multiLevelType w:val="hybridMultilevel"/>
    <w:tmpl w:val="9AAC4472"/>
    <w:lvl w:ilvl="0" w:tplc="58D6A2CC">
      <w:start w:val="1"/>
      <w:numFmt w:val="bullet"/>
      <w:lvlText w:val="•"/>
      <w:lvlJc w:val="left"/>
      <w:pPr>
        <w:tabs>
          <w:tab w:val="num" w:pos="720"/>
        </w:tabs>
        <w:ind w:left="720" w:hanging="360"/>
      </w:pPr>
      <w:rPr>
        <w:rFonts w:ascii="Times New Roman" w:hAnsi="Times New Roman" w:hint="default"/>
      </w:rPr>
    </w:lvl>
    <w:lvl w:ilvl="1" w:tplc="1B9A4346" w:tentative="1">
      <w:start w:val="1"/>
      <w:numFmt w:val="bullet"/>
      <w:lvlText w:val="•"/>
      <w:lvlJc w:val="left"/>
      <w:pPr>
        <w:tabs>
          <w:tab w:val="num" w:pos="1440"/>
        </w:tabs>
        <w:ind w:left="1440" w:hanging="360"/>
      </w:pPr>
      <w:rPr>
        <w:rFonts w:ascii="Times New Roman" w:hAnsi="Times New Roman" w:hint="default"/>
      </w:rPr>
    </w:lvl>
    <w:lvl w:ilvl="2" w:tplc="290AD7DC" w:tentative="1">
      <w:start w:val="1"/>
      <w:numFmt w:val="bullet"/>
      <w:lvlText w:val="•"/>
      <w:lvlJc w:val="left"/>
      <w:pPr>
        <w:tabs>
          <w:tab w:val="num" w:pos="2160"/>
        </w:tabs>
        <w:ind w:left="2160" w:hanging="360"/>
      </w:pPr>
      <w:rPr>
        <w:rFonts w:ascii="Times New Roman" w:hAnsi="Times New Roman" w:hint="default"/>
      </w:rPr>
    </w:lvl>
    <w:lvl w:ilvl="3" w:tplc="A7142812" w:tentative="1">
      <w:start w:val="1"/>
      <w:numFmt w:val="bullet"/>
      <w:lvlText w:val="•"/>
      <w:lvlJc w:val="left"/>
      <w:pPr>
        <w:tabs>
          <w:tab w:val="num" w:pos="2880"/>
        </w:tabs>
        <w:ind w:left="2880" w:hanging="360"/>
      </w:pPr>
      <w:rPr>
        <w:rFonts w:ascii="Times New Roman" w:hAnsi="Times New Roman" w:hint="default"/>
      </w:rPr>
    </w:lvl>
    <w:lvl w:ilvl="4" w:tplc="966C22DA" w:tentative="1">
      <w:start w:val="1"/>
      <w:numFmt w:val="bullet"/>
      <w:lvlText w:val="•"/>
      <w:lvlJc w:val="left"/>
      <w:pPr>
        <w:tabs>
          <w:tab w:val="num" w:pos="3600"/>
        </w:tabs>
        <w:ind w:left="3600" w:hanging="360"/>
      </w:pPr>
      <w:rPr>
        <w:rFonts w:ascii="Times New Roman" w:hAnsi="Times New Roman" w:hint="default"/>
      </w:rPr>
    </w:lvl>
    <w:lvl w:ilvl="5" w:tplc="4678EDE8" w:tentative="1">
      <w:start w:val="1"/>
      <w:numFmt w:val="bullet"/>
      <w:lvlText w:val="•"/>
      <w:lvlJc w:val="left"/>
      <w:pPr>
        <w:tabs>
          <w:tab w:val="num" w:pos="4320"/>
        </w:tabs>
        <w:ind w:left="4320" w:hanging="360"/>
      </w:pPr>
      <w:rPr>
        <w:rFonts w:ascii="Times New Roman" w:hAnsi="Times New Roman" w:hint="default"/>
      </w:rPr>
    </w:lvl>
    <w:lvl w:ilvl="6" w:tplc="7780F978" w:tentative="1">
      <w:start w:val="1"/>
      <w:numFmt w:val="bullet"/>
      <w:lvlText w:val="•"/>
      <w:lvlJc w:val="left"/>
      <w:pPr>
        <w:tabs>
          <w:tab w:val="num" w:pos="5040"/>
        </w:tabs>
        <w:ind w:left="5040" w:hanging="360"/>
      </w:pPr>
      <w:rPr>
        <w:rFonts w:ascii="Times New Roman" w:hAnsi="Times New Roman" w:hint="default"/>
      </w:rPr>
    </w:lvl>
    <w:lvl w:ilvl="7" w:tplc="0D34EE5C" w:tentative="1">
      <w:start w:val="1"/>
      <w:numFmt w:val="bullet"/>
      <w:lvlText w:val="•"/>
      <w:lvlJc w:val="left"/>
      <w:pPr>
        <w:tabs>
          <w:tab w:val="num" w:pos="5760"/>
        </w:tabs>
        <w:ind w:left="5760" w:hanging="360"/>
      </w:pPr>
      <w:rPr>
        <w:rFonts w:ascii="Times New Roman" w:hAnsi="Times New Roman" w:hint="default"/>
      </w:rPr>
    </w:lvl>
    <w:lvl w:ilvl="8" w:tplc="FDC0410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8C81657"/>
    <w:multiLevelType w:val="hybridMultilevel"/>
    <w:tmpl w:val="66B0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3B38EB"/>
    <w:multiLevelType w:val="hybridMultilevel"/>
    <w:tmpl w:val="BF3E2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D40052"/>
    <w:multiLevelType w:val="hybridMultilevel"/>
    <w:tmpl w:val="DF567A38"/>
    <w:lvl w:ilvl="0" w:tplc="29343BB8">
      <w:start w:val="1"/>
      <w:numFmt w:val="bullet"/>
      <w:lvlText w:val="•"/>
      <w:lvlJc w:val="left"/>
      <w:pPr>
        <w:tabs>
          <w:tab w:val="num" w:pos="720"/>
        </w:tabs>
        <w:ind w:left="720" w:hanging="360"/>
      </w:pPr>
      <w:rPr>
        <w:rFonts w:ascii="Times New Roman" w:hAnsi="Times New Roman" w:hint="default"/>
      </w:rPr>
    </w:lvl>
    <w:lvl w:ilvl="1" w:tplc="8DC43E5C" w:tentative="1">
      <w:start w:val="1"/>
      <w:numFmt w:val="bullet"/>
      <w:lvlText w:val="•"/>
      <w:lvlJc w:val="left"/>
      <w:pPr>
        <w:tabs>
          <w:tab w:val="num" w:pos="1440"/>
        </w:tabs>
        <w:ind w:left="1440" w:hanging="360"/>
      </w:pPr>
      <w:rPr>
        <w:rFonts w:ascii="Times New Roman" w:hAnsi="Times New Roman" w:hint="default"/>
      </w:rPr>
    </w:lvl>
    <w:lvl w:ilvl="2" w:tplc="9B4652E8" w:tentative="1">
      <w:start w:val="1"/>
      <w:numFmt w:val="bullet"/>
      <w:lvlText w:val="•"/>
      <w:lvlJc w:val="left"/>
      <w:pPr>
        <w:tabs>
          <w:tab w:val="num" w:pos="2160"/>
        </w:tabs>
        <w:ind w:left="2160" w:hanging="360"/>
      </w:pPr>
      <w:rPr>
        <w:rFonts w:ascii="Times New Roman" w:hAnsi="Times New Roman" w:hint="default"/>
      </w:rPr>
    </w:lvl>
    <w:lvl w:ilvl="3" w:tplc="F5008BD2" w:tentative="1">
      <w:start w:val="1"/>
      <w:numFmt w:val="bullet"/>
      <w:lvlText w:val="•"/>
      <w:lvlJc w:val="left"/>
      <w:pPr>
        <w:tabs>
          <w:tab w:val="num" w:pos="2880"/>
        </w:tabs>
        <w:ind w:left="2880" w:hanging="360"/>
      </w:pPr>
      <w:rPr>
        <w:rFonts w:ascii="Times New Roman" w:hAnsi="Times New Roman" w:hint="default"/>
      </w:rPr>
    </w:lvl>
    <w:lvl w:ilvl="4" w:tplc="5A82C57E" w:tentative="1">
      <w:start w:val="1"/>
      <w:numFmt w:val="bullet"/>
      <w:lvlText w:val="•"/>
      <w:lvlJc w:val="left"/>
      <w:pPr>
        <w:tabs>
          <w:tab w:val="num" w:pos="3600"/>
        </w:tabs>
        <w:ind w:left="3600" w:hanging="360"/>
      </w:pPr>
      <w:rPr>
        <w:rFonts w:ascii="Times New Roman" w:hAnsi="Times New Roman" w:hint="default"/>
      </w:rPr>
    </w:lvl>
    <w:lvl w:ilvl="5" w:tplc="0B32D18E" w:tentative="1">
      <w:start w:val="1"/>
      <w:numFmt w:val="bullet"/>
      <w:lvlText w:val="•"/>
      <w:lvlJc w:val="left"/>
      <w:pPr>
        <w:tabs>
          <w:tab w:val="num" w:pos="4320"/>
        </w:tabs>
        <w:ind w:left="4320" w:hanging="360"/>
      </w:pPr>
      <w:rPr>
        <w:rFonts w:ascii="Times New Roman" w:hAnsi="Times New Roman" w:hint="default"/>
      </w:rPr>
    </w:lvl>
    <w:lvl w:ilvl="6" w:tplc="E0163B50" w:tentative="1">
      <w:start w:val="1"/>
      <w:numFmt w:val="bullet"/>
      <w:lvlText w:val="•"/>
      <w:lvlJc w:val="left"/>
      <w:pPr>
        <w:tabs>
          <w:tab w:val="num" w:pos="5040"/>
        </w:tabs>
        <w:ind w:left="5040" w:hanging="360"/>
      </w:pPr>
      <w:rPr>
        <w:rFonts w:ascii="Times New Roman" w:hAnsi="Times New Roman" w:hint="default"/>
      </w:rPr>
    </w:lvl>
    <w:lvl w:ilvl="7" w:tplc="F490E2E2" w:tentative="1">
      <w:start w:val="1"/>
      <w:numFmt w:val="bullet"/>
      <w:lvlText w:val="•"/>
      <w:lvlJc w:val="left"/>
      <w:pPr>
        <w:tabs>
          <w:tab w:val="num" w:pos="5760"/>
        </w:tabs>
        <w:ind w:left="5760" w:hanging="360"/>
      </w:pPr>
      <w:rPr>
        <w:rFonts w:ascii="Times New Roman" w:hAnsi="Times New Roman" w:hint="default"/>
      </w:rPr>
    </w:lvl>
    <w:lvl w:ilvl="8" w:tplc="9B268F16"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6C62D92"/>
    <w:multiLevelType w:val="multilevel"/>
    <w:tmpl w:val="EF04293A"/>
    <w:lvl w:ilvl="0">
      <w:start w:val="1"/>
      <w:numFmt w:val="decimal"/>
      <w:lvlText w:val="%1"/>
      <w:lvlJc w:val="left"/>
      <w:pPr>
        <w:tabs>
          <w:tab w:val="num" w:pos="1080"/>
        </w:tabs>
        <w:ind w:left="1080" w:hanging="1080"/>
      </w:pPr>
      <w:rPr>
        <w:rFonts w:cs="Times New Roman" w:hint="default"/>
      </w:rPr>
    </w:lvl>
    <w:lvl w:ilvl="1">
      <w:start w:val="1"/>
      <w:numFmt w:val="bullet"/>
      <w:pStyle w:val="NumPara"/>
      <w:lvlText w:val=""/>
      <w:lvlJc w:val="left"/>
      <w:pPr>
        <w:tabs>
          <w:tab w:val="num" w:pos="1080"/>
        </w:tabs>
      </w:pPr>
      <w:rPr>
        <w:rFonts w:ascii="Symbol" w:hAnsi="Symbol" w:hint="default"/>
        <w:color w:val="000000"/>
      </w:rPr>
    </w:lvl>
    <w:lvl w:ilvl="2">
      <w:start w:val="1"/>
      <w:numFmt w:val="decimal"/>
      <w:lvlText w:val="%1.%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7" w15:restartNumberingAfterBreak="0">
    <w:nsid w:val="56E83F2A"/>
    <w:multiLevelType w:val="multilevel"/>
    <w:tmpl w:val="E9004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FC3B3B"/>
    <w:multiLevelType w:val="hybridMultilevel"/>
    <w:tmpl w:val="1220ACA4"/>
    <w:lvl w:ilvl="0" w:tplc="85F45E9A">
      <w:start w:val="1"/>
      <w:numFmt w:val="bullet"/>
      <w:lvlText w:val="•"/>
      <w:lvlJc w:val="left"/>
      <w:pPr>
        <w:tabs>
          <w:tab w:val="num" w:pos="720"/>
        </w:tabs>
        <w:ind w:left="720" w:hanging="360"/>
      </w:pPr>
      <w:rPr>
        <w:rFonts w:ascii="Times New Roman" w:hAnsi="Times New Roman" w:hint="default"/>
      </w:rPr>
    </w:lvl>
    <w:lvl w:ilvl="1" w:tplc="A9FCDDC2" w:tentative="1">
      <w:start w:val="1"/>
      <w:numFmt w:val="bullet"/>
      <w:lvlText w:val="•"/>
      <w:lvlJc w:val="left"/>
      <w:pPr>
        <w:tabs>
          <w:tab w:val="num" w:pos="1440"/>
        </w:tabs>
        <w:ind w:left="1440" w:hanging="360"/>
      </w:pPr>
      <w:rPr>
        <w:rFonts w:ascii="Times New Roman" w:hAnsi="Times New Roman" w:hint="default"/>
      </w:rPr>
    </w:lvl>
    <w:lvl w:ilvl="2" w:tplc="DFFC8536" w:tentative="1">
      <w:start w:val="1"/>
      <w:numFmt w:val="bullet"/>
      <w:lvlText w:val="•"/>
      <w:lvlJc w:val="left"/>
      <w:pPr>
        <w:tabs>
          <w:tab w:val="num" w:pos="2160"/>
        </w:tabs>
        <w:ind w:left="2160" w:hanging="360"/>
      </w:pPr>
      <w:rPr>
        <w:rFonts w:ascii="Times New Roman" w:hAnsi="Times New Roman" w:hint="default"/>
      </w:rPr>
    </w:lvl>
    <w:lvl w:ilvl="3" w:tplc="0E1EDB08" w:tentative="1">
      <w:start w:val="1"/>
      <w:numFmt w:val="bullet"/>
      <w:lvlText w:val="•"/>
      <w:lvlJc w:val="left"/>
      <w:pPr>
        <w:tabs>
          <w:tab w:val="num" w:pos="2880"/>
        </w:tabs>
        <w:ind w:left="2880" w:hanging="360"/>
      </w:pPr>
      <w:rPr>
        <w:rFonts w:ascii="Times New Roman" w:hAnsi="Times New Roman" w:hint="default"/>
      </w:rPr>
    </w:lvl>
    <w:lvl w:ilvl="4" w:tplc="5A9477E8" w:tentative="1">
      <w:start w:val="1"/>
      <w:numFmt w:val="bullet"/>
      <w:lvlText w:val="•"/>
      <w:lvlJc w:val="left"/>
      <w:pPr>
        <w:tabs>
          <w:tab w:val="num" w:pos="3600"/>
        </w:tabs>
        <w:ind w:left="3600" w:hanging="360"/>
      </w:pPr>
      <w:rPr>
        <w:rFonts w:ascii="Times New Roman" w:hAnsi="Times New Roman" w:hint="default"/>
      </w:rPr>
    </w:lvl>
    <w:lvl w:ilvl="5" w:tplc="972C0124" w:tentative="1">
      <w:start w:val="1"/>
      <w:numFmt w:val="bullet"/>
      <w:lvlText w:val="•"/>
      <w:lvlJc w:val="left"/>
      <w:pPr>
        <w:tabs>
          <w:tab w:val="num" w:pos="4320"/>
        </w:tabs>
        <w:ind w:left="4320" w:hanging="360"/>
      </w:pPr>
      <w:rPr>
        <w:rFonts w:ascii="Times New Roman" w:hAnsi="Times New Roman" w:hint="default"/>
      </w:rPr>
    </w:lvl>
    <w:lvl w:ilvl="6" w:tplc="09568748" w:tentative="1">
      <w:start w:val="1"/>
      <w:numFmt w:val="bullet"/>
      <w:lvlText w:val="•"/>
      <w:lvlJc w:val="left"/>
      <w:pPr>
        <w:tabs>
          <w:tab w:val="num" w:pos="5040"/>
        </w:tabs>
        <w:ind w:left="5040" w:hanging="360"/>
      </w:pPr>
      <w:rPr>
        <w:rFonts w:ascii="Times New Roman" w:hAnsi="Times New Roman" w:hint="default"/>
      </w:rPr>
    </w:lvl>
    <w:lvl w:ilvl="7" w:tplc="5A5E1DE8" w:tentative="1">
      <w:start w:val="1"/>
      <w:numFmt w:val="bullet"/>
      <w:lvlText w:val="•"/>
      <w:lvlJc w:val="left"/>
      <w:pPr>
        <w:tabs>
          <w:tab w:val="num" w:pos="5760"/>
        </w:tabs>
        <w:ind w:left="5760" w:hanging="360"/>
      </w:pPr>
      <w:rPr>
        <w:rFonts w:ascii="Times New Roman" w:hAnsi="Times New Roman" w:hint="default"/>
      </w:rPr>
    </w:lvl>
    <w:lvl w:ilvl="8" w:tplc="CE90E86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7D0622FD"/>
    <w:multiLevelType w:val="hybridMultilevel"/>
    <w:tmpl w:val="E772BA3C"/>
    <w:lvl w:ilvl="0" w:tplc="08090005">
      <w:start w:val="1"/>
      <w:numFmt w:val="bullet"/>
      <w:lvlText w:val=""/>
      <w:lvlJc w:val="left"/>
      <w:pPr>
        <w:ind w:left="777" w:hanging="360"/>
      </w:pPr>
      <w:rPr>
        <w:rFonts w:ascii="Wingdings" w:hAnsi="Wingdings"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num w:numId="1">
    <w:abstractNumId w:val="2"/>
  </w:num>
  <w:num w:numId="2">
    <w:abstractNumId w:val="15"/>
  </w:num>
  <w:num w:numId="3">
    <w:abstractNumId w:val="16"/>
  </w:num>
  <w:num w:numId="4">
    <w:abstractNumId w:val="8"/>
  </w:num>
  <w:num w:numId="5">
    <w:abstractNumId w:val="9"/>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4"/>
  </w:num>
  <w:num w:numId="8">
    <w:abstractNumId w:val="3"/>
  </w:num>
  <w:num w:numId="9">
    <w:abstractNumId w:val="10"/>
  </w:num>
  <w:num w:numId="10">
    <w:abstractNumId w:val="11"/>
  </w:num>
  <w:num w:numId="11">
    <w:abstractNumId w:val="19"/>
  </w:num>
  <w:num w:numId="12">
    <w:abstractNumId w:val="17"/>
  </w:num>
  <w:num w:numId="13">
    <w:abstractNumId w:val="5"/>
  </w:num>
  <w:num w:numId="14">
    <w:abstractNumId w:val="16"/>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8"/>
  </w:num>
  <w:num w:numId="17">
    <w:abstractNumId w:val="6"/>
  </w:num>
  <w:num w:numId="18">
    <w:abstractNumId w:val="12"/>
  </w:num>
  <w:num w:numId="19">
    <w:abstractNumId w:val="7"/>
  </w:num>
  <w:num w:numId="20">
    <w:abstractNumId w:val="0"/>
  </w:num>
  <w:num w:numId="21">
    <w:abstractNumId w:val="14"/>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trackRevision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4A3"/>
    <w:rsid w:val="000007B7"/>
    <w:rsid w:val="00000AA3"/>
    <w:rsid w:val="00000FD4"/>
    <w:rsid w:val="000030B7"/>
    <w:rsid w:val="00004B96"/>
    <w:rsid w:val="00004BA1"/>
    <w:rsid w:val="00004E8F"/>
    <w:rsid w:val="00005785"/>
    <w:rsid w:val="00006621"/>
    <w:rsid w:val="00010D6F"/>
    <w:rsid w:val="000119E2"/>
    <w:rsid w:val="000200E9"/>
    <w:rsid w:val="00020988"/>
    <w:rsid w:val="00024F6C"/>
    <w:rsid w:val="0002637A"/>
    <w:rsid w:val="000272A3"/>
    <w:rsid w:val="00027AE1"/>
    <w:rsid w:val="00030915"/>
    <w:rsid w:val="00030E26"/>
    <w:rsid w:val="000346CE"/>
    <w:rsid w:val="000356F6"/>
    <w:rsid w:val="00042B63"/>
    <w:rsid w:val="00043019"/>
    <w:rsid w:val="00045AF2"/>
    <w:rsid w:val="00053A16"/>
    <w:rsid w:val="000563C7"/>
    <w:rsid w:val="00060CED"/>
    <w:rsid w:val="0006196F"/>
    <w:rsid w:val="00063DA5"/>
    <w:rsid w:val="0006431B"/>
    <w:rsid w:val="000706BC"/>
    <w:rsid w:val="00072F38"/>
    <w:rsid w:val="00072F5F"/>
    <w:rsid w:val="000773A8"/>
    <w:rsid w:val="000775CD"/>
    <w:rsid w:val="0008012A"/>
    <w:rsid w:val="0008111B"/>
    <w:rsid w:val="000820F0"/>
    <w:rsid w:val="0008633C"/>
    <w:rsid w:val="00086A93"/>
    <w:rsid w:val="000874EF"/>
    <w:rsid w:val="00087FA0"/>
    <w:rsid w:val="00091897"/>
    <w:rsid w:val="00091F7B"/>
    <w:rsid w:val="0009227A"/>
    <w:rsid w:val="00095938"/>
    <w:rsid w:val="000A048C"/>
    <w:rsid w:val="000A1D0D"/>
    <w:rsid w:val="000A3189"/>
    <w:rsid w:val="000B111A"/>
    <w:rsid w:val="000B520F"/>
    <w:rsid w:val="000C1F3C"/>
    <w:rsid w:val="000D03C1"/>
    <w:rsid w:val="000D1960"/>
    <w:rsid w:val="000D1A9F"/>
    <w:rsid w:val="000D240F"/>
    <w:rsid w:val="000D7BD4"/>
    <w:rsid w:val="000E09AC"/>
    <w:rsid w:val="000E2E58"/>
    <w:rsid w:val="000E3BCF"/>
    <w:rsid w:val="000E7D15"/>
    <w:rsid w:val="000F1BFB"/>
    <w:rsid w:val="000F2793"/>
    <w:rsid w:val="000F2B6D"/>
    <w:rsid w:val="000F3C11"/>
    <w:rsid w:val="000F54C9"/>
    <w:rsid w:val="000F7243"/>
    <w:rsid w:val="001026BA"/>
    <w:rsid w:val="00103597"/>
    <w:rsid w:val="00104D34"/>
    <w:rsid w:val="001064E9"/>
    <w:rsid w:val="00106936"/>
    <w:rsid w:val="00107FE2"/>
    <w:rsid w:val="00112ED8"/>
    <w:rsid w:val="00116667"/>
    <w:rsid w:val="00116A06"/>
    <w:rsid w:val="001200AD"/>
    <w:rsid w:val="00122FFD"/>
    <w:rsid w:val="00124C98"/>
    <w:rsid w:val="001263A4"/>
    <w:rsid w:val="00132759"/>
    <w:rsid w:val="00133FF4"/>
    <w:rsid w:val="0013417B"/>
    <w:rsid w:val="001359A0"/>
    <w:rsid w:val="00136127"/>
    <w:rsid w:val="001404E0"/>
    <w:rsid w:val="00141C8F"/>
    <w:rsid w:val="00143603"/>
    <w:rsid w:val="00143AA7"/>
    <w:rsid w:val="00145191"/>
    <w:rsid w:val="001473AE"/>
    <w:rsid w:val="00150FD8"/>
    <w:rsid w:val="001524E6"/>
    <w:rsid w:val="00154DCD"/>
    <w:rsid w:val="00156DD5"/>
    <w:rsid w:val="00161693"/>
    <w:rsid w:val="00161AF6"/>
    <w:rsid w:val="0016365A"/>
    <w:rsid w:val="0016475C"/>
    <w:rsid w:val="0016477C"/>
    <w:rsid w:val="001647BE"/>
    <w:rsid w:val="00165457"/>
    <w:rsid w:val="0016684E"/>
    <w:rsid w:val="00166B00"/>
    <w:rsid w:val="0016716F"/>
    <w:rsid w:val="00170C8F"/>
    <w:rsid w:val="00172363"/>
    <w:rsid w:val="00181C79"/>
    <w:rsid w:val="00182D01"/>
    <w:rsid w:val="00183720"/>
    <w:rsid w:val="00183786"/>
    <w:rsid w:val="0018689F"/>
    <w:rsid w:val="00186F97"/>
    <w:rsid w:val="00193789"/>
    <w:rsid w:val="00194A81"/>
    <w:rsid w:val="00194D10"/>
    <w:rsid w:val="00196CF9"/>
    <w:rsid w:val="00196E0C"/>
    <w:rsid w:val="00197544"/>
    <w:rsid w:val="001A17A4"/>
    <w:rsid w:val="001A2C64"/>
    <w:rsid w:val="001A30AD"/>
    <w:rsid w:val="001A3DE8"/>
    <w:rsid w:val="001A7339"/>
    <w:rsid w:val="001B1709"/>
    <w:rsid w:val="001B3086"/>
    <w:rsid w:val="001B6001"/>
    <w:rsid w:val="001B758D"/>
    <w:rsid w:val="001C2695"/>
    <w:rsid w:val="001C5F5E"/>
    <w:rsid w:val="001C660D"/>
    <w:rsid w:val="001C7126"/>
    <w:rsid w:val="001D0209"/>
    <w:rsid w:val="001D64B5"/>
    <w:rsid w:val="001D6E95"/>
    <w:rsid w:val="001E0339"/>
    <w:rsid w:val="001E0537"/>
    <w:rsid w:val="001E0849"/>
    <w:rsid w:val="001E29B8"/>
    <w:rsid w:val="001E4274"/>
    <w:rsid w:val="0020008F"/>
    <w:rsid w:val="0020223D"/>
    <w:rsid w:val="00203018"/>
    <w:rsid w:val="00204158"/>
    <w:rsid w:val="00205CC7"/>
    <w:rsid w:val="00205F77"/>
    <w:rsid w:val="002061C5"/>
    <w:rsid w:val="00221D04"/>
    <w:rsid w:val="002244B0"/>
    <w:rsid w:val="002264B0"/>
    <w:rsid w:val="002305D8"/>
    <w:rsid w:val="00234A05"/>
    <w:rsid w:val="00234AC6"/>
    <w:rsid w:val="00235EB3"/>
    <w:rsid w:val="0023681D"/>
    <w:rsid w:val="0023704D"/>
    <w:rsid w:val="0024006B"/>
    <w:rsid w:val="002408FD"/>
    <w:rsid w:val="00240F0E"/>
    <w:rsid w:val="00243CE8"/>
    <w:rsid w:val="00247CA1"/>
    <w:rsid w:val="002510CD"/>
    <w:rsid w:val="00252CD4"/>
    <w:rsid w:val="00253E68"/>
    <w:rsid w:val="00255A80"/>
    <w:rsid w:val="00267377"/>
    <w:rsid w:val="00267AE8"/>
    <w:rsid w:val="00271371"/>
    <w:rsid w:val="00271547"/>
    <w:rsid w:val="00272294"/>
    <w:rsid w:val="00274152"/>
    <w:rsid w:val="00274838"/>
    <w:rsid w:val="00275D08"/>
    <w:rsid w:val="00281571"/>
    <w:rsid w:val="00282F16"/>
    <w:rsid w:val="00283008"/>
    <w:rsid w:val="002851E2"/>
    <w:rsid w:val="00291992"/>
    <w:rsid w:val="00293F68"/>
    <w:rsid w:val="00296075"/>
    <w:rsid w:val="00296CE9"/>
    <w:rsid w:val="00296F04"/>
    <w:rsid w:val="002A4C7F"/>
    <w:rsid w:val="002A5E97"/>
    <w:rsid w:val="002A62B9"/>
    <w:rsid w:val="002A7075"/>
    <w:rsid w:val="002A7206"/>
    <w:rsid w:val="002B172D"/>
    <w:rsid w:val="002B5CD2"/>
    <w:rsid w:val="002C1586"/>
    <w:rsid w:val="002D090F"/>
    <w:rsid w:val="002D1710"/>
    <w:rsid w:val="002D17CD"/>
    <w:rsid w:val="002D3B14"/>
    <w:rsid w:val="002D7104"/>
    <w:rsid w:val="002E0715"/>
    <w:rsid w:val="002E26A0"/>
    <w:rsid w:val="002E3338"/>
    <w:rsid w:val="002E3F14"/>
    <w:rsid w:val="002E694B"/>
    <w:rsid w:val="002E7931"/>
    <w:rsid w:val="003008A1"/>
    <w:rsid w:val="003009D0"/>
    <w:rsid w:val="00300A9E"/>
    <w:rsid w:val="003010D5"/>
    <w:rsid w:val="00312237"/>
    <w:rsid w:val="003125F2"/>
    <w:rsid w:val="00316E5B"/>
    <w:rsid w:val="003215F2"/>
    <w:rsid w:val="003259AB"/>
    <w:rsid w:val="00325BEF"/>
    <w:rsid w:val="00325FD8"/>
    <w:rsid w:val="0033440F"/>
    <w:rsid w:val="00335CAD"/>
    <w:rsid w:val="00341A75"/>
    <w:rsid w:val="00341C3B"/>
    <w:rsid w:val="00342AB6"/>
    <w:rsid w:val="00342BEA"/>
    <w:rsid w:val="00343ECD"/>
    <w:rsid w:val="00344C36"/>
    <w:rsid w:val="00345B66"/>
    <w:rsid w:val="00347796"/>
    <w:rsid w:val="00347BA2"/>
    <w:rsid w:val="003507D4"/>
    <w:rsid w:val="00350ACC"/>
    <w:rsid w:val="00350ADA"/>
    <w:rsid w:val="00351112"/>
    <w:rsid w:val="003519B9"/>
    <w:rsid w:val="00353921"/>
    <w:rsid w:val="00354E72"/>
    <w:rsid w:val="003574C8"/>
    <w:rsid w:val="00357AB3"/>
    <w:rsid w:val="00363A6B"/>
    <w:rsid w:val="003645A1"/>
    <w:rsid w:val="00365B2C"/>
    <w:rsid w:val="0036617F"/>
    <w:rsid w:val="003701B7"/>
    <w:rsid w:val="0037210C"/>
    <w:rsid w:val="00375C4C"/>
    <w:rsid w:val="003762FC"/>
    <w:rsid w:val="0038000F"/>
    <w:rsid w:val="003826EC"/>
    <w:rsid w:val="0038277D"/>
    <w:rsid w:val="00383268"/>
    <w:rsid w:val="00393B3E"/>
    <w:rsid w:val="00393E84"/>
    <w:rsid w:val="00395E52"/>
    <w:rsid w:val="00396696"/>
    <w:rsid w:val="00396A45"/>
    <w:rsid w:val="003A128A"/>
    <w:rsid w:val="003A141A"/>
    <w:rsid w:val="003B0F6F"/>
    <w:rsid w:val="003B11EF"/>
    <w:rsid w:val="003B18ED"/>
    <w:rsid w:val="003B5A93"/>
    <w:rsid w:val="003B5E10"/>
    <w:rsid w:val="003B632A"/>
    <w:rsid w:val="003B67AC"/>
    <w:rsid w:val="003B6A9F"/>
    <w:rsid w:val="003B71B9"/>
    <w:rsid w:val="003C0C0F"/>
    <w:rsid w:val="003C2067"/>
    <w:rsid w:val="003C37E6"/>
    <w:rsid w:val="003C3BA2"/>
    <w:rsid w:val="003C4084"/>
    <w:rsid w:val="003C63C5"/>
    <w:rsid w:val="003D2960"/>
    <w:rsid w:val="003D4CB6"/>
    <w:rsid w:val="003D513E"/>
    <w:rsid w:val="003D5B5C"/>
    <w:rsid w:val="003D75E4"/>
    <w:rsid w:val="003E057D"/>
    <w:rsid w:val="003E343C"/>
    <w:rsid w:val="003E38E1"/>
    <w:rsid w:val="003E3B9E"/>
    <w:rsid w:val="003E7643"/>
    <w:rsid w:val="003F1294"/>
    <w:rsid w:val="003F1E94"/>
    <w:rsid w:val="0040101A"/>
    <w:rsid w:val="00401C02"/>
    <w:rsid w:val="00405E96"/>
    <w:rsid w:val="00406DC0"/>
    <w:rsid w:val="00406E0E"/>
    <w:rsid w:val="00413C35"/>
    <w:rsid w:val="00420152"/>
    <w:rsid w:val="00423722"/>
    <w:rsid w:val="00435FA2"/>
    <w:rsid w:val="0043775C"/>
    <w:rsid w:val="00442857"/>
    <w:rsid w:val="0044655C"/>
    <w:rsid w:val="00447E7C"/>
    <w:rsid w:val="00450E0D"/>
    <w:rsid w:val="004524F2"/>
    <w:rsid w:val="00455419"/>
    <w:rsid w:val="00462CD9"/>
    <w:rsid w:val="00462F86"/>
    <w:rsid w:val="00464255"/>
    <w:rsid w:val="00466C81"/>
    <w:rsid w:val="0046769B"/>
    <w:rsid w:val="004676FF"/>
    <w:rsid w:val="0047264A"/>
    <w:rsid w:val="00473102"/>
    <w:rsid w:val="004753C9"/>
    <w:rsid w:val="004759F1"/>
    <w:rsid w:val="004812FD"/>
    <w:rsid w:val="0048278F"/>
    <w:rsid w:val="00484602"/>
    <w:rsid w:val="004864A2"/>
    <w:rsid w:val="00486BA4"/>
    <w:rsid w:val="00492087"/>
    <w:rsid w:val="00494D3A"/>
    <w:rsid w:val="00495227"/>
    <w:rsid w:val="00495E4E"/>
    <w:rsid w:val="00496378"/>
    <w:rsid w:val="00496688"/>
    <w:rsid w:val="004A0A3B"/>
    <w:rsid w:val="004A33F5"/>
    <w:rsid w:val="004A3417"/>
    <w:rsid w:val="004A34F1"/>
    <w:rsid w:val="004A5144"/>
    <w:rsid w:val="004A5E2E"/>
    <w:rsid w:val="004A69ED"/>
    <w:rsid w:val="004B0576"/>
    <w:rsid w:val="004B23F7"/>
    <w:rsid w:val="004B3438"/>
    <w:rsid w:val="004B474B"/>
    <w:rsid w:val="004B6158"/>
    <w:rsid w:val="004C46C0"/>
    <w:rsid w:val="004D1D45"/>
    <w:rsid w:val="004D1D4F"/>
    <w:rsid w:val="004D3364"/>
    <w:rsid w:val="004D5FA4"/>
    <w:rsid w:val="004E0904"/>
    <w:rsid w:val="004E47D9"/>
    <w:rsid w:val="004E550C"/>
    <w:rsid w:val="004E5E1C"/>
    <w:rsid w:val="004E746E"/>
    <w:rsid w:val="004F2EC3"/>
    <w:rsid w:val="0050081B"/>
    <w:rsid w:val="00503450"/>
    <w:rsid w:val="00504EA3"/>
    <w:rsid w:val="00504F14"/>
    <w:rsid w:val="00506D09"/>
    <w:rsid w:val="00513132"/>
    <w:rsid w:val="00513271"/>
    <w:rsid w:val="00514F33"/>
    <w:rsid w:val="00521388"/>
    <w:rsid w:val="00525ACA"/>
    <w:rsid w:val="00526552"/>
    <w:rsid w:val="00526618"/>
    <w:rsid w:val="00530A70"/>
    <w:rsid w:val="00531CBD"/>
    <w:rsid w:val="0053255C"/>
    <w:rsid w:val="00532D61"/>
    <w:rsid w:val="00535B5A"/>
    <w:rsid w:val="00536E28"/>
    <w:rsid w:val="005377B6"/>
    <w:rsid w:val="00541B01"/>
    <w:rsid w:val="00542110"/>
    <w:rsid w:val="00544A12"/>
    <w:rsid w:val="00546C37"/>
    <w:rsid w:val="00550147"/>
    <w:rsid w:val="00562273"/>
    <w:rsid w:val="005633AD"/>
    <w:rsid w:val="005716C1"/>
    <w:rsid w:val="00571F8C"/>
    <w:rsid w:val="00573AD2"/>
    <w:rsid w:val="00573C3A"/>
    <w:rsid w:val="00575D34"/>
    <w:rsid w:val="00577A2E"/>
    <w:rsid w:val="00577E44"/>
    <w:rsid w:val="00581230"/>
    <w:rsid w:val="00581808"/>
    <w:rsid w:val="005876A6"/>
    <w:rsid w:val="00591C9A"/>
    <w:rsid w:val="00593E76"/>
    <w:rsid w:val="005A1B56"/>
    <w:rsid w:val="005A2443"/>
    <w:rsid w:val="005A3A76"/>
    <w:rsid w:val="005A431C"/>
    <w:rsid w:val="005A6F6E"/>
    <w:rsid w:val="005B3804"/>
    <w:rsid w:val="005B5446"/>
    <w:rsid w:val="005B72B0"/>
    <w:rsid w:val="005B78F5"/>
    <w:rsid w:val="005C15F0"/>
    <w:rsid w:val="005C7209"/>
    <w:rsid w:val="005C7260"/>
    <w:rsid w:val="005D04F4"/>
    <w:rsid w:val="005D6FDE"/>
    <w:rsid w:val="005D7F51"/>
    <w:rsid w:val="005E12D0"/>
    <w:rsid w:val="005E2389"/>
    <w:rsid w:val="005E69F2"/>
    <w:rsid w:val="005E6DD0"/>
    <w:rsid w:val="005E7939"/>
    <w:rsid w:val="005F4075"/>
    <w:rsid w:val="005F4639"/>
    <w:rsid w:val="005F4676"/>
    <w:rsid w:val="005F492D"/>
    <w:rsid w:val="00601109"/>
    <w:rsid w:val="006028B2"/>
    <w:rsid w:val="006059AE"/>
    <w:rsid w:val="0060794D"/>
    <w:rsid w:val="00607FD4"/>
    <w:rsid w:val="00613BBF"/>
    <w:rsid w:val="006174A3"/>
    <w:rsid w:val="00620D17"/>
    <w:rsid w:val="006255F2"/>
    <w:rsid w:val="00627208"/>
    <w:rsid w:val="006279F3"/>
    <w:rsid w:val="00630D15"/>
    <w:rsid w:val="00630DFE"/>
    <w:rsid w:val="006312D3"/>
    <w:rsid w:val="00632A01"/>
    <w:rsid w:val="00633802"/>
    <w:rsid w:val="006346D6"/>
    <w:rsid w:val="006359D7"/>
    <w:rsid w:val="006360C0"/>
    <w:rsid w:val="0063684A"/>
    <w:rsid w:val="006378FD"/>
    <w:rsid w:val="006405CF"/>
    <w:rsid w:val="0064149D"/>
    <w:rsid w:val="00642909"/>
    <w:rsid w:val="00642BAA"/>
    <w:rsid w:val="00644AD4"/>
    <w:rsid w:val="0064566F"/>
    <w:rsid w:val="00652D12"/>
    <w:rsid w:val="00655F84"/>
    <w:rsid w:val="0066259A"/>
    <w:rsid w:val="00664D74"/>
    <w:rsid w:val="00664DBD"/>
    <w:rsid w:val="0066586B"/>
    <w:rsid w:val="00666869"/>
    <w:rsid w:val="006704BA"/>
    <w:rsid w:val="006709FE"/>
    <w:rsid w:val="00674D42"/>
    <w:rsid w:val="00676A87"/>
    <w:rsid w:val="00683003"/>
    <w:rsid w:val="00683BCE"/>
    <w:rsid w:val="0068439B"/>
    <w:rsid w:val="006914B0"/>
    <w:rsid w:val="00691DBF"/>
    <w:rsid w:val="00691DE8"/>
    <w:rsid w:val="006932B1"/>
    <w:rsid w:val="006947A8"/>
    <w:rsid w:val="00694D9E"/>
    <w:rsid w:val="006A0A42"/>
    <w:rsid w:val="006A19B4"/>
    <w:rsid w:val="006A1D4D"/>
    <w:rsid w:val="006A3C04"/>
    <w:rsid w:val="006A42A7"/>
    <w:rsid w:val="006A476E"/>
    <w:rsid w:val="006A4BAD"/>
    <w:rsid w:val="006A645F"/>
    <w:rsid w:val="006B2326"/>
    <w:rsid w:val="006B2F5F"/>
    <w:rsid w:val="006B32F9"/>
    <w:rsid w:val="006B34AA"/>
    <w:rsid w:val="006B3874"/>
    <w:rsid w:val="006B41B5"/>
    <w:rsid w:val="006B42D2"/>
    <w:rsid w:val="006B42F4"/>
    <w:rsid w:val="006B52A7"/>
    <w:rsid w:val="006B7193"/>
    <w:rsid w:val="006B7B59"/>
    <w:rsid w:val="006C095E"/>
    <w:rsid w:val="006C0A15"/>
    <w:rsid w:val="006C0FFF"/>
    <w:rsid w:val="006C1129"/>
    <w:rsid w:val="006C1FC2"/>
    <w:rsid w:val="006C3700"/>
    <w:rsid w:val="006C53E5"/>
    <w:rsid w:val="006C5E90"/>
    <w:rsid w:val="006C6D7E"/>
    <w:rsid w:val="006D16A7"/>
    <w:rsid w:val="006D3B7E"/>
    <w:rsid w:val="006D6DD0"/>
    <w:rsid w:val="006E0371"/>
    <w:rsid w:val="006E3E85"/>
    <w:rsid w:val="006E44EC"/>
    <w:rsid w:val="006F053D"/>
    <w:rsid w:val="006F1EE7"/>
    <w:rsid w:val="006F2155"/>
    <w:rsid w:val="006F3D31"/>
    <w:rsid w:val="006F666B"/>
    <w:rsid w:val="006F7148"/>
    <w:rsid w:val="006F7244"/>
    <w:rsid w:val="006F7750"/>
    <w:rsid w:val="007000A9"/>
    <w:rsid w:val="00700454"/>
    <w:rsid w:val="007004FF"/>
    <w:rsid w:val="00701BF4"/>
    <w:rsid w:val="007043E7"/>
    <w:rsid w:val="0070584C"/>
    <w:rsid w:val="00707A5C"/>
    <w:rsid w:val="00712253"/>
    <w:rsid w:val="00713D3E"/>
    <w:rsid w:val="00717517"/>
    <w:rsid w:val="00720186"/>
    <w:rsid w:val="00721680"/>
    <w:rsid w:val="00721830"/>
    <w:rsid w:val="00721B44"/>
    <w:rsid w:val="0072380E"/>
    <w:rsid w:val="00724207"/>
    <w:rsid w:val="007250F7"/>
    <w:rsid w:val="007304A8"/>
    <w:rsid w:val="00730845"/>
    <w:rsid w:val="007339B5"/>
    <w:rsid w:val="00733B39"/>
    <w:rsid w:val="00733FBF"/>
    <w:rsid w:val="00734193"/>
    <w:rsid w:val="0073706F"/>
    <w:rsid w:val="007455E8"/>
    <w:rsid w:val="0074616F"/>
    <w:rsid w:val="00746BBC"/>
    <w:rsid w:val="00750B8A"/>
    <w:rsid w:val="00751A32"/>
    <w:rsid w:val="00751B38"/>
    <w:rsid w:val="00751B4D"/>
    <w:rsid w:val="00754B2B"/>
    <w:rsid w:val="00755998"/>
    <w:rsid w:val="00755E2F"/>
    <w:rsid w:val="00756AB9"/>
    <w:rsid w:val="0076093C"/>
    <w:rsid w:val="00761A58"/>
    <w:rsid w:val="007620C7"/>
    <w:rsid w:val="007628F9"/>
    <w:rsid w:val="0076369B"/>
    <w:rsid w:val="0076581E"/>
    <w:rsid w:val="00765EC4"/>
    <w:rsid w:val="00766223"/>
    <w:rsid w:val="00766507"/>
    <w:rsid w:val="00766B06"/>
    <w:rsid w:val="0076703D"/>
    <w:rsid w:val="00770BE5"/>
    <w:rsid w:val="0077325A"/>
    <w:rsid w:val="00773B33"/>
    <w:rsid w:val="007741D5"/>
    <w:rsid w:val="00776CAC"/>
    <w:rsid w:val="00776EA3"/>
    <w:rsid w:val="007771BF"/>
    <w:rsid w:val="007819F0"/>
    <w:rsid w:val="00783B2A"/>
    <w:rsid w:val="00790443"/>
    <w:rsid w:val="00794565"/>
    <w:rsid w:val="007955AC"/>
    <w:rsid w:val="007A3037"/>
    <w:rsid w:val="007A3B5F"/>
    <w:rsid w:val="007C1A5D"/>
    <w:rsid w:val="007C4534"/>
    <w:rsid w:val="007C7DD2"/>
    <w:rsid w:val="007D05A9"/>
    <w:rsid w:val="007D67A1"/>
    <w:rsid w:val="007D70F9"/>
    <w:rsid w:val="007E0CEF"/>
    <w:rsid w:val="007E26D4"/>
    <w:rsid w:val="007E312A"/>
    <w:rsid w:val="007E6B26"/>
    <w:rsid w:val="007F5DFA"/>
    <w:rsid w:val="00801EA5"/>
    <w:rsid w:val="008040F9"/>
    <w:rsid w:val="0081287E"/>
    <w:rsid w:val="008133BC"/>
    <w:rsid w:val="008142E3"/>
    <w:rsid w:val="008148D8"/>
    <w:rsid w:val="0081639E"/>
    <w:rsid w:val="00817CD3"/>
    <w:rsid w:val="0082509E"/>
    <w:rsid w:val="0082525F"/>
    <w:rsid w:val="00825A52"/>
    <w:rsid w:val="00827D7C"/>
    <w:rsid w:val="00831047"/>
    <w:rsid w:val="00832391"/>
    <w:rsid w:val="008327E3"/>
    <w:rsid w:val="00832F04"/>
    <w:rsid w:val="008336FD"/>
    <w:rsid w:val="008365F2"/>
    <w:rsid w:val="008414A1"/>
    <w:rsid w:val="008468D0"/>
    <w:rsid w:val="00852318"/>
    <w:rsid w:val="008609D0"/>
    <w:rsid w:val="0086104F"/>
    <w:rsid w:val="00863164"/>
    <w:rsid w:val="00863221"/>
    <w:rsid w:val="00864C81"/>
    <w:rsid w:val="00864FAE"/>
    <w:rsid w:val="00872A23"/>
    <w:rsid w:val="00872E61"/>
    <w:rsid w:val="0088216D"/>
    <w:rsid w:val="008832D3"/>
    <w:rsid w:val="00885452"/>
    <w:rsid w:val="0088635D"/>
    <w:rsid w:val="008909E3"/>
    <w:rsid w:val="008A0F14"/>
    <w:rsid w:val="008A2254"/>
    <w:rsid w:val="008A3B41"/>
    <w:rsid w:val="008A5C64"/>
    <w:rsid w:val="008A6C35"/>
    <w:rsid w:val="008A7C3D"/>
    <w:rsid w:val="008B1A5C"/>
    <w:rsid w:val="008B2313"/>
    <w:rsid w:val="008B4442"/>
    <w:rsid w:val="008B47E6"/>
    <w:rsid w:val="008C02E7"/>
    <w:rsid w:val="008C07FA"/>
    <w:rsid w:val="008C25B9"/>
    <w:rsid w:val="008C5B6C"/>
    <w:rsid w:val="008C7F4E"/>
    <w:rsid w:val="008D0475"/>
    <w:rsid w:val="008D17AD"/>
    <w:rsid w:val="008E37BB"/>
    <w:rsid w:val="008E585D"/>
    <w:rsid w:val="008E6810"/>
    <w:rsid w:val="008F0305"/>
    <w:rsid w:val="008F047E"/>
    <w:rsid w:val="008F175D"/>
    <w:rsid w:val="008F1BD2"/>
    <w:rsid w:val="008F353E"/>
    <w:rsid w:val="008F709C"/>
    <w:rsid w:val="008F7402"/>
    <w:rsid w:val="008F79FE"/>
    <w:rsid w:val="009035AB"/>
    <w:rsid w:val="0090427B"/>
    <w:rsid w:val="00907D21"/>
    <w:rsid w:val="009117F5"/>
    <w:rsid w:val="00914075"/>
    <w:rsid w:val="00916CF2"/>
    <w:rsid w:val="0092016A"/>
    <w:rsid w:val="00921D7F"/>
    <w:rsid w:val="009240BE"/>
    <w:rsid w:val="00926D57"/>
    <w:rsid w:val="0093030A"/>
    <w:rsid w:val="00931258"/>
    <w:rsid w:val="00933378"/>
    <w:rsid w:val="0093599B"/>
    <w:rsid w:val="0093650B"/>
    <w:rsid w:val="00943826"/>
    <w:rsid w:val="009456BE"/>
    <w:rsid w:val="00951A3E"/>
    <w:rsid w:val="00952F69"/>
    <w:rsid w:val="00953362"/>
    <w:rsid w:val="009619E5"/>
    <w:rsid w:val="00963BCD"/>
    <w:rsid w:val="00970A27"/>
    <w:rsid w:val="009756A3"/>
    <w:rsid w:val="00976B44"/>
    <w:rsid w:val="009833FB"/>
    <w:rsid w:val="00985AED"/>
    <w:rsid w:val="009867F6"/>
    <w:rsid w:val="0098745A"/>
    <w:rsid w:val="00990644"/>
    <w:rsid w:val="00994B80"/>
    <w:rsid w:val="009961BF"/>
    <w:rsid w:val="009A2260"/>
    <w:rsid w:val="009A4B12"/>
    <w:rsid w:val="009A53CE"/>
    <w:rsid w:val="009A5692"/>
    <w:rsid w:val="009B1531"/>
    <w:rsid w:val="009B24F4"/>
    <w:rsid w:val="009B520F"/>
    <w:rsid w:val="009B7FE0"/>
    <w:rsid w:val="009C0C7B"/>
    <w:rsid w:val="009C4B3E"/>
    <w:rsid w:val="009C6E67"/>
    <w:rsid w:val="009D04EC"/>
    <w:rsid w:val="009D08B5"/>
    <w:rsid w:val="009D16A2"/>
    <w:rsid w:val="009D1B21"/>
    <w:rsid w:val="009D3B6A"/>
    <w:rsid w:val="009D548B"/>
    <w:rsid w:val="009D5F75"/>
    <w:rsid w:val="009D79C1"/>
    <w:rsid w:val="009E2859"/>
    <w:rsid w:val="009E2B9A"/>
    <w:rsid w:val="009E3201"/>
    <w:rsid w:val="009E361D"/>
    <w:rsid w:val="009E49C1"/>
    <w:rsid w:val="009E53F8"/>
    <w:rsid w:val="009E5683"/>
    <w:rsid w:val="009E5FAC"/>
    <w:rsid w:val="009E63A4"/>
    <w:rsid w:val="009E7049"/>
    <w:rsid w:val="009E761E"/>
    <w:rsid w:val="009F16E0"/>
    <w:rsid w:val="009F34DA"/>
    <w:rsid w:val="00A00732"/>
    <w:rsid w:val="00A03145"/>
    <w:rsid w:val="00A06F67"/>
    <w:rsid w:val="00A10930"/>
    <w:rsid w:val="00A118CF"/>
    <w:rsid w:val="00A14C93"/>
    <w:rsid w:val="00A15502"/>
    <w:rsid w:val="00A16AB3"/>
    <w:rsid w:val="00A16FB9"/>
    <w:rsid w:val="00A20D0A"/>
    <w:rsid w:val="00A20DC7"/>
    <w:rsid w:val="00A22677"/>
    <w:rsid w:val="00A2319D"/>
    <w:rsid w:val="00A260CD"/>
    <w:rsid w:val="00A274ED"/>
    <w:rsid w:val="00A27605"/>
    <w:rsid w:val="00A30607"/>
    <w:rsid w:val="00A306B7"/>
    <w:rsid w:val="00A35725"/>
    <w:rsid w:val="00A36796"/>
    <w:rsid w:val="00A37573"/>
    <w:rsid w:val="00A37BA1"/>
    <w:rsid w:val="00A40832"/>
    <w:rsid w:val="00A41FBB"/>
    <w:rsid w:val="00A42030"/>
    <w:rsid w:val="00A42E11"/>
    <w:rsid w:val="00A4501B"/>
    <w:rsid w:val="00A466E1"/>
    <w:rsid w:val="00A4713D"/>
    <w:rsid w:val="00A4794A"/>
    <w:rsid w:val="00A51CD3"/>
    <w:rsid w:val="00A57485"/>
    <w:rsid w:val="00A61304"/>
    <w:rsid w:val="00A648BC"/>
    <w:rsid w:val="00A66723"/>
    <w:rsid w:val="00A71C80"/>
    <w:rsid w:val="00A73418"/>
    <w:rsid w:val="00A7398C"/>
    <w:rsid w:val="00A73AD4"/>
    <w:rsid w:val="00A74C92"/>
    <w:rsid w:val="00A75211"/>
    <w:rsid w:val="00A76197"/>
    <w:rsid w:val="00A76BBF"/>
    <w:rsid w:val="00A81A5D"/>
    <w:rsid w:val="00A82C98"/>
    <w:rsid w:val="00A834E0"/>
    <w:rsid w:val="00A85107"/>
    <w:rsid w:val="00A8533F"/>
    <w:rsid w:val="00A8537B"/>
    <w:rsid w:val="00A85876"/>
    <w:rsid w:val="00A87992"/>
    <w:rsid w:val="00A90E9C"/>
    <w:rsid w:val="00A91422"/>
    <w:rsid w:val="00A94C25"/>
    <w:rsid w:val="00A97697"/>
    <w:rsid w:val="00A97A2A"/>
    <w:rsid w:val="00AB33F5"/>
    <w:rsid w:val="00AC070F"/>
    <w:rsid w:val="00AC0950"/>
    <w:rsid w:val="00AC653A"/>
    <w:rsid w:val="00AC7CA8"/>
    <w:rsid w:val="00AD0D88"/>
    <w:rsid w:val="00AD0FDC"/>
    <w:rsid w:val="00AD1747"/>
    <w:rsid w:val="00AD5592"/>
    <w:rsid w:val="00AE1691"/>
    <w:rsid w:val="00AE1D35"/>
    <w:rsid w:val="00AE3924"/>
    <w:rsid w:val="00AE5684"/>
    <w:rsid w:val="00AE7DCA"/>
    <w:rsid w:val="00AF72EF"/>
    <w:rsid w:val="00B00638"/>
    <w:rsid w:val="00B04010"/>
    <w:rsid w:val="00B14F66"/>
    <w:rsid w:val="00B20A57"/>
    <w:rsid w:val="00B22763"/>
    <w:rsid w:val="00B230AA"/>
    <w:rsid w:val="00B23AAE"/>
    <w:rsid w:val="00B23EB5"/>
    <w:rsid w:val="00B24E25"/>
    <w:rsid w:val="00B252B4"/>
    <w:rsid w:val="00B27178"/>
    <w:rsid w:val="00B27AB7"/>
    <w:rsid w:val="00B328BB"/>
    <w:rsid w:val="00B34195"/>
    <w:rsid w:val="00B35FD5"/>
    <w:rsid w:val="00B43F53"/>
    <w:rsid w:val="00B448D0"/>
    <w:rsid w:val="00B46AB2"/>
    <w:rsid w:val="00B47262"/>
    <w:rsid w:val="00B4773A"/>
    <w:rsid w:val="00B53C5F"/>
    <w:rsid w:val="00B5715C"/>
    <w:rsid w:val="00B603BE"/>
    <w:rsid w:val="00B60443"/>
    <w:rsid w:val="00B619E5"/>
    <w:rsid w:val="00B65CBB"/>
    <w:rsid w:val="00B77620"/>
    <w:rsid w:val="00B8025D"/>
    <w:rsid w:val="00B80EFC"/>
    <w:rsid w:val="00B811B9"/>
    <w:rsid w:val="00B81532"/>
    <w:rsid w:val="00B84064"/>
    <w:rsid w:val="00B8574F"/>
    <w:rsid w:val="00B86164"/>
    <w:rsid w:val="00B86506"/>
    <w:rsid w:val="00B92D3F"/>
    <w:rsid w:val="00B97F29"/>
    <w:rsid w:val="00BA069C"/>
    <w:rsid w:val="00BA1BEC"/>
    <w:rsid w:val="00BA1E0B"/>
    <w:rsid w:val="00BA56F1"/>
    <w:rsid w:val="00BA69E0"/>
    <w:rsid w:val="00BB334E"/>
    <w:rsid w:val="00BB4A0E"/>
    <w:rsid w:val="00BB585E"/>
    <w:rsid w:val="00BB599F"/>
    <w:rsid w:val="00BB63B9"/>
    <w:rsid w:val="00BB6622"/>
    <w:rsid w:val="00BB7708"/>
    <w:rsid w:val="00BC3732"/>
    <w:rsid w:val="00BC4BCB"/>
    <w:rsid w:val="00BC66EC"/>
    <w:rsid w:val="00BC7270"/>
    <w:rsid w:val="00BD0F71"/>
    <w:rsid w:val="00BD1871"/>
    <w:rsid w:val="00BD20C7"/>
    <w:rsid w:val="00BD425E"/>
    <w:rsid w:val="00BD5034"/>
    <w:rsid w:val="00BD5F18"/>
    <w:rsid w:val="00BD68E6"/>
    <w:rsid w:val="00BE5B11"/>
    <w:rsid w:val="00BE63D7"/>
    <w:rsid w:val="00BF02DB"/>
    <w:rsid w:val="00C020C0"/>
    <w:rsid w:val="00C021A7"/>
    <w:rsid w:val="00C022EF"/>
    <w:rsid w:val="00C02C3B"/>
    <w:rsid w:val="00C030E5"/>
    <w:rsid w:val="00C07506"/>
    <w:rsid w:val="00C11318"/>
    <w:rsid w:val="00C13FE9"/>
    <w:rsid w:val="00C21C9E"/>
    <w:rsid w:val="00C26A49"/>
    <w:rsid w:val="00C30DEA"/>
    <w:rsid w:val="00C33BD3"/>
    <w:rsid w:val="00C375CB"/>
    <w:rsid w:val="00C43EC1"/>
    <w:rsid w:val="00C4767D"/>
    <w:rsid w:val="00C50427"/>
    <w:rsid w:val="00C50738"/>
    <w:rsid w:val="00C5112D"/>
    <w:rsid w:val="00C54D24"/>
    <w:rsid w:val="00C55008"/>
    <w:rsid w:val="00C61D7E"/>
    <w:rsid w:val="00C63545"/>
    <w:rsid w:val="00C65B90"/>
    <w:rsid w:val="00C66B46"/>
    <w:rsid w:val="00C73032"/>
    <w:rsid w:val="00C75BF1"/>
    <w:rsid w:val="00C873A4"/>
    <w:rsid w:val="00C90C55"/>
    <w:rsid w:val="00C9552E"/>
    <w:rsid w:val="00C956E6"/>
    <w:rsid w:val="00CA00B3"/>
    <w:rsid w:val="00CA00B6"/>
    <w:rsid w:val="00CA1986"/>
    <w:rsid w:val="00CA221C"/>
    <w:rsid w:val="00CA379A"/>
    <w:rsid w:val="00CA47D6"/>
    <w:rsid w:val="00CA7569"/>
    <w:rsid w:val="00CB0AA6"/>
    <w:rsid w:val="00CB1088"/>
    <w:rsid w:val="00CB1235"/>
    <w:rsid w:val="00CB7862"/>
    <w:rsid w:val="00CC0146"/>
    <w:rsid w:val="00CC337B"/>
    <w:rsid w:val="00CC49CC"/>
    <w:rsid w:val="00CC5C9B"/>
    <w:rsid w:val="00CC631A"/>
    <w:rsid w:val="00CC685C"/>
    <w:rsid w:val="00CD3D5C"/>
    <w:rsid w:val="00CD6329"/>
    <w:rsid w:val="00CD7984"/>
    <w:rsid w:val="00CE07C8"/>
    <w:rsid w:val="00CE104E"/>
    <w:rsid w:val="00CE1BBB"/>
    <w:rsid w:val="00CE31C7"/>
    <w:rsid w:val="00CE434E"/>
    <w:rsid w:val="00CE476B"/>
    <w:rsid w:val="00CE480D"/>
    <w:rsid w:val="00CE4DF6"/>
    <w:rsid w:val="00CE575F"/>
    <w:rsid w:val="00CE750A"/>
    <w:rsid w:val="00CF112C"/>
    <w:rsid w:val="00CF2119"/>
    <w:rsid w:val="00CF79A6"/>
    <w:rsid w:val="00D01288"/>
    <w:rsid w:val="00D063CD"/>
    <w:rsid w:val="00D11B0D"/>
    <w:rsid w:val="00D21C07"/>
    <w:rsid w:val="00D2258A"/>
    <w:rsid w:val="00D2461B"/>
    <w:rsid w:val="00D24D05"/>
    <w:rsid w:val="00D24E81"/>
    <w:rsid w:val="00D273BC"/>
    <w:rsid w:val="00D32600"/>
    <w:rsid w:val="00D365E0"/>
    <w:rsid w:val="00D41346"/>
    <w:rsid w:val="00D41B36"/>
    <w:rsid w:val="00D436F2"/>
    <w:rsid w:val="00D44202"/>
    <w:rsid w:val="00D549B8"/>
    <w:rsid w:val="00D6262B"/>
    <w:rsid w:val="00D64CDD"/>
    <w:rsid w:val="00D66D20"/>
    <w:rsid w:val="00D7017F"/>
    <w:rsid w:val="00D7104A"/>
    <w:rsid w:val="00D71476"/>
    <w:rsid w:val="00D715C5"/>
    <w:rsid w:val="00D7168C"/>
    <w:rsid w:val="00D71CDA"/>
    <w:rsid w:val="00D74CB5"/>
    <w:rsid w:val="00D75CBE"/>
    <w:rsid w:val="00D77554"/>
    <w:rsid w:val="00D80466"/>
    <w:rsid w:val="00D81638"/>
    <w:rsid w:val="00D86C05"/>
    <w:rsid w:val="00D9113A"/>
    <w:rsid w:val="00D95706"/>
    <w:rsid w:val="00D9609A"/>
    <w:rsid w:val="00D964E4"/>
    <w:rsid w:val="00DA1AB6"/>
    <w:rsid w:val="00DA3BE0"/>
    <w:rsid w:val="00DA6B66"/>
    <w:rsid w:val="00DA6FE9"/>
    <w:rsid w:val="00DB11F8"/>
    <w:rsid w:val="00DB23F0"/>
    <w:rsid w:val="00DB30CE"/>
    <w:rsid w:val="00DB3748"/>
    <w:rsid w:val="00DB607F"/>
    <w:rsid w:val="00DB6605"/>
    <w:rsid w:val="00DC196E"/>
    <w:rsid w:val="00DC591D"/>
    <w:rsid w:val="00DD39DD"/>
    <w:rsid w:val="00DD468B"/>
    <w:rsid w:val="00DD53D7"/>
    <w:rsid w:val="00DD5C82"/>
    <w:rsid w:val="00DE0541"/>
    <w:rsid w:val="00DE1E9B"/>
    <w:rsid w:val="00DE3D5F"/>
    <w:rsid w:val="00DE40BB"/>
    <w:rsid w:val="00DE5F4B"/>
    <w:rsid w:val="00DE6D4C"/>
    <w:rsid w:val="00DF55BC"/>
    <w:rsid w:val="00DF5B55"/>
    <w:rsid w:val="00DF7AF4"/>
    <w:rsid w:val="00E009E8"/>
    <w:rsid w:val="00E0531E"/>
    <w:rsid w:val="00E0658F"/>
    <w:rsid w:val="00E06F0D"/>
    <w:rsid w:val="00E07B6E"/>
    <w:rsid w:val="00E1011E"/>
    <w:rsid w:val="00E1027C"/>
    <w:rsid w:val="00E129AB"/>
    <w:rsid w:val="00E12EED"/>
    <w:rsid w:val="00E13B88"/>
    <w:rsid w:val="00E16BB9"/>
    <w:rsid w:val="00E20632"/>
    <w:rsid w:val="00E23ABC"/>
    <w:rsid w:val="00E23FA9"/>
    <w:rsid w:val="00E2418C"/>
    <w:rsid w:val="00E2528F"/>
    <w:rsid w:val="00E260FD"/>
    <w:rsid w:val="00E27E3D"/>
    <w:rsid w:val="00E30B58"/>
    <w:rsid w:val="00E31F02"/>
    <w:rsid w:val="00E3229D"/>
    <w:rsid w:val="00E33C2F"/>
    <w:rsid w:val="00E373E4"/>
    <w:rsid w:val="00E377FD"/>
    <w:rsid w:val="00E40447"/>
    <w:rsid w:val="00E40A27"/>
    <w:rsid w:val="00E44961"/>
    <w:rsid w:val="00E47B04"/>
    <w:rsid w:val="00E51BF7"/>
    <w:rsid w:val="00E55182"/>
    <w:rsid w:val="00E56EBD"/>
    <w:rsid w:val="00E57580"/>
    <w:rsid w:val="00E624C9"/>
    <w:rsid w:val="00E66D37"/>
    <w:rsid w:val="00E67E2E"/>
    <w:rsid w:val="00E70943"/>
    <w:rsid w:val="00E73E88"/>
    <w:rsid w:val="00E744CE"/>
    <w:rsid w:val="00E753F0"/>
    <w:rsid w:val="00E75731"/>
    <w:rsid w:val="00E76159"/>
    <w:rsid w:val="00E841A0"/>
    <w:rsid w:val="00E903E7"/>
    <w:rsid w:val="00E90ADF"/>
    <w:rsid w:val="00EA6F44"/>
    <w:rsid w:val="00EB0C2A"/>
    <w:rsid w:val="00EB1856"/>
    <w:rsid w:val="00EB291F"/>
    <w:rsid w:val="00EB4903"/>
    <w:rsid w:val="00EC19C9"/>
    <w:rsid w:val="00ED1FE2"/>
    <w:rsid w:val="00EE27C7"/>
    <w:rsid w:val="00EE37F9"/>
    <w:rsid w:val="00EE621B"/>
    <w:rsid w:val="00EE6338"/>
    <w:rsid w:val="00EE67D6"/>
    <w:rsid w:val="00EF00F6"/>
    <w:rsid w:val="00EF1842"/>
    <w:rsid w:val="00EF37F7"/>
    <w:rsid w:val="00EF3BC7"/>
    <w:rsid w:val="00EF5E88"/>
    <w:rsid w:val="00EF65F0"/>
    <w:rsid w:val="00EF75D7"/>
    <w:rsid w:val="00F02E38"/>
    <w:rsid w:val="00F057A9"/>
    <w:rsid w:val="00F10647"/>
    <w:rsid w:val="00F1104B"/>
    <w:rsid w:val="00F12D92"/>
    <w:rsid w:val="00F15144"/>
    <w:rsid w:val="00F15EA1"/>
    <w:rsid w:val="00F16D89"/>
    <w:rsid w:val="00F17F70"/>
    <w:rsid w:val="00F23A74"/>
    <w:rsid w:val="00F24D5B"/>
    <w:rsid w:val="00F256E8"/>
    <w:rsid w:val="00F257EA"/>
    <w:rsid w:val="00F26611"/>
    <w:rsid w:val="00F26D51"/>
    <w:rsid w:val="00F320BC"/>
    <w:rsid w:val="00F33DF8"/>
    <w:rsid w:val="00F34062"/>
    <w:rsid w:val="00F34A8F"/>
    <w:rsid w:val="00F37AE3"/>
    <w:rsid w:val="00F420FC"/>
    <w:rsid w:val="00F44F8C"/>
    <w:rsid w:val="00F50089"/>
    <w:rsid w:val="00F526C4"/>
    <w:rsid w:val="00F551ED"/>
    <w:rsid w:val="00F57F95"/>
    <w:rsid w:val="00F60413"/>
    <w:rsid w:val="00F60558"/>
    <w:rsid w:val="00F61CCE"/>
    <w:rsid w:val="00F643A5"/>
    <w:rsid w:val="00F70D1B"/>
    <w:rsid w:val="00F715FF"/>
    <w:rsid w:val="00F72125"/>
    <w:rsid w:val="00F72F83"/>
    <w:rsid w:val="00F74F70"/>
    <w:rsid w:val="00F75FE7"/>
    <w:rsid w:val="00F7770D"/>
    <w:rsid w:val="00F82B2D"/>
    <w:rsid w:val="00F82E07"/>
    <w:rsid w:val="00F837C1"/>
    <w:rsid w:val="00F8466C"/>
    <w:rsid w:val="00F86083"/>
    <w:rsid w:val="00F906AF"/>
    <w:rsid w:val="00F933CA"/>
    <w:rsid w:val="00F93AC1"/>
    <w:rsid w:val="00F96CE2"/>
    <w:rsid w:val="00FA0480"/>
    <w:rsid w:val="00FA55C7"/>
    <w:rsid w:val="00FB0B22"/>
    <w:rsid w:val="00FB2B5A"/>
    <w:rsid w:val="00FB450B"/>
    <w:rsid w:val="00FB4A2F"/>
    <w:rsid w:val="00FB5A2E"/>
    <w:rsid w:val="00FC1444"/>
    <w:rsid w:val="00FC17AD"/>
    <w:rsid w:val="00FC423A"/>
    <w:rsid w:val="00FD1021"/>
    <w:rsid w:val="00FD3D90"/>
    <w:rsid w:val="00FE2094"/>
    <w:rsid w:val="00FE21C2"/>
    <w:rsid w:val="00FE5686"/>
    <w:rsid w:val="00FE7080"/>
    <w:rsid w:val="00FF2017"/>
    <w:rsid w:val="00FF3B26"/>
    <w:rsid w:val="00FF4C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63C4448"/>
  <w15:chartTrackingRefBased/>
  <w15:docId w15:val="{BE964768-DD3E-4309-9DDA-E0C82462C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5D34"/>
  </w:style>
  <w:style w:type="paragraph" w:styleId="Heading1">
    <w:name w:val="heading 1"/>
    <w:basedOn w:val="Normal"/>
    <w:next w:val="Normal"/>
    <w:link w:val="Heading1Char"/>
    <w:qFormat/>
    <w:rsid w:val="00D71CDA"/>
    <w:pPr>
      <w:keepNext/>
      <w:numPr>
        <w:numId w:val="4"/>
      </w:numPr>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D71CDA"/>
    <w:pPr>
      <w:keepNext/>
      <w:keepLines/>
      <w:spacing w:before="40" w:after="0"/>
      <w:outlineLvl w:val="1"/>
    </w:pPr>
    <w:rPr>
      <w:rFonts w:asciiTheme="majorHAnsi" w:eastAsiaTheme="majorEastAsia" w:hAnsiTheme="majorHAnsi" w:cstheme="majorBidi"/>
      <w:color w:val="0B5294"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75D3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5D34"/>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575D34"/>
    <w:pPr>
      <w:ind w:left="720"/>
      <w:contextualSpacing/>
    </w:pPr>
  </w:style>
  <w:style w:type="paragraph" w:styleId="IntenseQuote">
    <w:name w:val="Intense Quote"/>
    <w:basedOn w:val="Normal"/>
    <w:next w:val="Normal"/>
    <w:link w:val="IntenseQuoteChar"/>
    <w:uiPriority w:val="30"/>
    <w:qFormat/>
    <w:rsid w:val="00575D34"/>
    <w:pPr>
      <w:pBdr>
        <w:top w:val="single" w:sz="4" w:space="10" w:color="0F6FC6" w:themeColor="accent1"/>
        <w:bottom w:val="single" w:sz="4" w:space="10" w:color="0F6FC6" w:themeColor="accent1"/>
      </w:pBdr>
      <w:spacing w:before="360" w:after="360"/>
      <w:ind w:left="864" w:right="864"/>
      <w:jc w:val="center"/>
    </w:pPr>
    <w:rPr>
      <w:i/>
      <w:iCs/>
      <w:color w:val="0F6FC6" w:themeColor="accent1"/>
    </w:rPr>
  </w:style>
  <w:style w:type="character" w:customStyle="1" w:styleId="IntenseQuoteChar">
    <w:name w:val="Intense Quote Char"/>
    <w:basedOn w:val="DefaultParagraphFont"/>
    <w:link w:val="IntenseQuote"/>
    <w:uiPriority w:val="30"/>
    <w:rsid w:val="00575D34"/>
    <w:rPr>
      <w:i/>
      <w:iCs/>
      <w:color w:val="0F6FC6" w:themeColor="accent1"/>
    </w:rPr>
  </w:style>
  <w:style w:type="paragraph" w:styleId="Header">
    <w:name w:val="header"/>
    <w:basedOn w:val="Normal"/>
    <w:link w:val="HeaderChar"/>
    <w:uiPriority w:val="99"/>
    <w:unhideWhenUsed/>
    <w:rsid w:val="00575D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5D34"/>
  </w:style>
  <w:style w:type="paragraph" w:styleId="Footer">
    <w:name w:val="footer"/>
    <w:basedOn w:val="Normal"/>
    <w:link w:val="FooterChar"/>
    <w:uiPriority w:val="99"/>
    <w:unhideWhenUsed/>
    <w:rsid w:val="00575D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5D34"/>
  </w:style>
  <w:style w:type="paragraph" w:styleId="NoSpacing">
    <w:name w:val="No Spacing"/>
    <w:link w:val="NoSpacingChar"/>
    <w:uiPriority w:val="1"/>
    <w:qFormat/>
    <w:rsid w:val="00D9113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9113A"/>
    <w:rPr>
      <w:rFonts w:eastAsiaTheme="minorEastAsia"/>
      <w:lang w:val="en-US"/>
    </w:rPr>
  </w:style>
  <w:style w:type="table" w:styleId="TableGrid">
    <w:name w:val="Table Grid"/>
    <w:basedOn w:val="TableNormal"/>
    <w:uiPriority w:val="59"/>
    <w:rsid w:val="00A26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71CDA"/>
    <w:rPr>
      <w:rFonts w:ascii="Arial" w:eastAsia="Times New Roman" w:hAnsi="Arial" w:cs="Arial"/>
      <w:b/>
      <w:bCs/>
      <w:kern w:val="32"/>
      <w:sz w:val="32"/>
      <w:szCs w:val="32"/>
    </w:rPr>
  </w:style>
  <w:style w:type="paragraph" w:customStyle="1" w:styleId="NumPara">
    <w:name w:val="Num Para"/>
    <w:basedOn w:val="Heading2"/>
    <w:uiPriority w:val="99"/>
    <w:rsid w:val="00D71CDA"/>
    <w:pPr>
      <w:keepNext w:val="0"/>
      <w:keepLines w:val="0"/>
      <w:widowControl w:val="0"/>
      <w:numPr>
        <w:ilvl w:val="1"/>
        <w:numId w:val="3"/>
      </w:numPr>
      <w:tabs>
        <w:tab w:val="left" w:pos="567"/>
      </w:tabs>
      <w:spacing w:before="120" w:after="120" w:line="240" w:lineRule="auto"/>
      <w:jc w:val="both"/>
    </w:pPr>
    <w:rPr>
      <w:rFonts w:ascii="Arial" w:eastAsia="Times New Roman" w:hAnsi="Arial" w:cs="Arial"/>
      <w:bCs/>
      <w:iCs/>
      <w:color w:val="auto"/>
      <w:sz w:val="22"/>
      <w:szCs w:val="28"/>
    </w:rPr>
  </w:style>
  <w:style w:type="character" w:customStyle="1" w:styleId="Heading2Char">
    <w:name w:val="Heading 2 Char"/>
    <w:basedOn w:val="DefaultParagraphFont"/>
    <w:link w:val="Heading2"/>
    <w:uiPriority w:val="9"/>
    <w:rsid w:val="00D71CDA"/>
    <w:rPr>
      <w:rFonts w:asciiTheme="majorHAnsi" w:eastAsiaTheme="majorEastAsia" w:hAnsiTheme="majorHAnsi" w:cstheme="majorBidi"/>
      <w:color w:val="0B5294" w:themeColor="accent1" w:themeShade="BF"/>
      <w:sz w:val="26"/>
      <w:szCs w:val="26"/>
    </w:rPr>
  </w:style>
  <w:style w:type="character" w:styleId="CommentReference">
    <w:name w:val="annotation reference"/>
    <w:basedOn w:val="DefaultParagraphFont"/>
    <w:uiPriority w:val="99"/>
    <w:semiHidden/>
    <w:unhideWhenUsed/>
    <w:rsid w:val="008609D0"/>
    <w:rPr>
      <w:sz w:val="16"/>
      <w:szCs w:val="16"/>
    </w:rPr>
  </w:style>
  <w:style w:type="paragraph" w:styleId="CommentText">
    <w:name w:val="annotation text"/>
    <w:basedOn w:val="Normal"/>
    <w:link w:val="CommentTextChar"/>
    <w:uiPriority w:val="99"/>
    <w:semiHidden/>
    <w:unhideWhenUsed/>
    <w:rsid w:val="008609D0"/>
    <w:pPr>
      <w:spacing w:line="240" w:lineRule="auto"/>
    </w:pPr>
    <w:rPr>
      <w:sz w:val="20"/>
      <w:szCs w:val="20"/>
    </w:rPr>
  </w:style>
  <w:style w:type="character" w:customStyle="1" w:styleId="CommentTextChar">
    <w:name w:val="Comment Text Char"/>
    <w:basedOn w:val="DefaultParagraphFont"/>
    <w:link w:val="CommentText"/>
    <w:uiPriority w:val="99"/>
    <w:semiHidden/>
    <w:rsid w:val="008609D0"/>
    <w:rPr>
      <w:sz w:val="20"/>
      <w:szCs w:val="20"/>
    </w:rPr>
  </w:style>
  <w:style w:type="paragraph" w:styleId="CommentSubject">
    <w:name w:val="annotation subject"/>
    <w:basedOn w:val="CommentText"/>
    <w:next w:val="CommentText"/>
    <w:link w:val="CommentSubjectChar"/>
    <w:uiPriority w:val="99"/>
    <w:semiHidden/>
    <w:unhideWhenUsed/>
    <w:rsid w:val="008609D0"/>
    <w:rPr>
      <w:b/>
      <w:bCs/>
    </w:rPr>
  </w:style>
  <w:style w:type="character" w:customStyle="1" w:styleId="CommentSubjectChar">
    <w:name w:val="Comment Subject Char"/>
    <w:basedOn w:val="CommentTextChar"/>
    <w:link w:val="CommentSubject"/>
    <w:uiPriority w:val="99"/>
    <w:semiHidden/>
    <w:rsid w:val="008609D0"/>
    <w:rPr>
      <w:b/>
      <w:bCs/>
      <w:sz w:val="20"/>
      <w:szCs w:val="20"/>
    </w:rPr>
  </w:style>
  <w:style w:type="paragraph" w:styleId="BalloonText">
    <w:name w:val="Balloon Text"/>
    <w:basedOn w:val="Normal"/>
    <w:link w:val="BalloonTextChar"/>
    <w:uiPriority w:val="99"/>
    <w:semiHidden/>
    <w:unhideWhenUsed/>
    <w:rsid w:val="008609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09D0"/>
    <w:rPr>
      <w:rFonts w:ascii="Segoe UI" w:hAnsi="Segoe UI" w:cs="Segoe UI"/>
      <w:sz w:val="18"/>
      <w:szCs w:val="18"/>
    </w:rPr>
  </w:style>
  <w:style w:type="paragraph" w:customStyle="1" w:styleId="NumPara4">
    <w:name w:val="Num Para 4"/>
    <w:basedOn w:val="Normal"/>
    <w:uiPriority w:val="99"/>
    <w:rsid w:val="00C73032"/>
    <w:pPr>
      <w:widowControl w:val="0"/>
      <w:numPr>
        <w:ilvl w:val="1"/>
        <w:numId w:val="5"/>
      </w:numPr>
      <w:tabs>
        <w:tab w:val="left" w:pos="567"/>
      </w:tabs>
      <w:spacing w:before="120" w:after="120" w:line="240" w:lineRule="auto"/>
      <w:jc w:val="both"/>
      <w:outlineLvl w:val="1"/>
    </w:pPr>
    <w:rPr>
      <w:rFonts w:ascii="Arial" w:eastAsia="Times New Roman" w:hAnsi="Arial" w:cs="Arial"/>
      <w:bCs/>
      <w:iCs/>
      <w:szCs w:val="28"/>
    </w:rPr>
  </w:style>
  <w:style w:type="paragraph" w:customStyle="1" w:styleId="Default">
    <w:name w:val="Default"/>
    <w:rsid w:val="00004BA1"/>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NormalWeb">
    <w:name w:val="Normal (Web)"/>
    <w:basedOn w:val="Normal"/>
    <w:uiPriority w:val="99"/>
    <w:semiHidden/>
    <w:unhideWhenUsed/>
    <w:rsid w:val="00794565"/>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FootnoteText">
    <w:name w:val="footnote text"/>
    <w:basedOn w:val="Normal"/>
    <w:link w:val="FootnoteTextChar"/>
    <w:uiPriority w:val="99"/>
    <w:semiHidden/>
    <w:unhideWhenUsed/>
    <w:rsid w:val="005A3A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A3A76"/>
    <w:rPr>
      <w:sz w:val="20"/>
      <w:szCs w:val="20"/>
    </w:rPr>
  </w:style>
  <w:style w:type="character" w:styleId="FootnoteReference">
    <w:name w:val="footnote reference"/>
    <w:basedOn w:val="DefaultParagraphFont"/>
    <w:uiPriority w:val="99"/>
    <w:semiHidden/>
    <w:unhideWhenUsed/>
    <w:rsid w:val="005A3A76"/>
    <w:rPr>
      <w:vertAlign w:val="superscript"/>
    </w:rPr>
  </w:style>
  <w:style w:type="character" w:styleId="Hyperlink">
    <w:name w:val="Hyperlink"/>
    <w:basedOn w:val="DefaultParagraphFont"/>
    <w:uiPriority w:val="99"/>
    <w:unhideWhenUsed/>
    <w:rsid w:val="006B42F4"/>
    <w:rPr>
      <w:color w:val="0000FF"/>
      <w:u w:val="single"/>
    </w:rPr>
  </w:style>
  <w:style w:type="character" w:styleId="UnresolvedMention">
    <w:name w:val="Unresolved Mention"/>
    <w:basedOn w:val="DefaultParagraphFont"/>
    <w:uiPriority w:val="99"/>
    <w:semiHidden/>
    <w:unhideWhenUsed/>
    <w:rsid w:val="005A6F6E"/>
    <w:rPr>
      <w:color w:val="605E5C"/>
      <w:shd w:val="clear" w:color="auto" w:fill="E1DFDD"/>
    </w:rPr>
  </w:style>
  <w:style w:type="paragraph" w:customStyle="1" w:styleId="xmsonormal">
    <w:name w:val="x_msonormal"/>
    <w:basedOn w:val="Normal"/>
    <w:uiPriority w:val="99"/>
    <w:rsid w:val="00FB5A2E"/>
    <w:pPr>
      <w:spacing w:after="0" w:line="240" w:lineRule="auto"/>
    </w:pPr>
    <w:rPr>
      <w:rFonts w:ascii="Times New Roman" w:hAnsi="Times New Roman" w:cs="Times New Roman"/>
      <w:sz w:val="24"/>
      <w:szCs w:val="24"/>
      <w:lang w:eastAsia="en-GB"/>
    </w:rPr>
  </w:style>
  <w:style w:type="character" w:styleId="HTMLDefinition">
    <w:name w:val="HTML Definition"/>
    <w:basedOn w:val="DefaultParagraphFont"/>
    <w:uiPriority w:val="99"/>
    <w:semiHidden/>
    <w:unhideWhenUsed/>
    <w:rsid w:val="008F047E"/>
    <w:rPr>
      <w:b/>
      <w:bCs/>
      <w:i/>
      <w:iCs/>
    </w:rPr>
  </w:style>
  <w:style w:type="paragraph" w:customStyle="1" w:styleId="Para">
    <w:name w:val="Para"/>
    <w:basedOn w:val="Normal"/>
    <w:link w:val="ParaChar"/>
    <w:uiPriority w:val="4"/>
    <w:qFormat/>
    <w:rsid w:val="00BB334E"/>
    <w:pPr>
      <w:spacing w:before="120" w:after="120" w:line="240" w:lineRule="auto"/>
      <w:ind w:left="680" w:right="680"/>
      <w:jc w:val="both"/>
    </w:pPr>
    <w:rPr>
      <w:rFonts w:ascii="Times New Roman" w:eastAsia="SimSun" w:hAnsi="Times New Roman" w:cs="Times New Roman"/>
    </w:rPr>
  </w:style>
  <w:style w:type="character" w:customStyle="1" w:styleId="ParaChar">
    <w:name w:val="Para Char"/>
    <w:basedOn w:val="DefaultParagraphFont"/>
    <w:link w:val="Para"/>
    <w:uiPriority w:val="4"/>
    <w:rsid w:val="00BB334E"/>
    <w:rPr>
      <w:rFonts w:ascii="Times New Roman" w:eastAsia="SimSun" w:hAnsi="Times New Roman" w:cs="Times New Roman"/>
    </w:rPr>
  </w:style>
  <w:style w:type="character" w:styleId="FollowedHyperlink">
    <w:name w:val="FollowedHyperlink"/>
    <w:basedOn w:val="DefaultParagraphFont"/>
    <w:uiPriority w:val="99"/>
    <w:semiHidden/>
    <w:unhideWhenUsed/>
    <w:rsid w:val="00205F77"/>
    <w:rPr>
      <w:color w:val="85DFD0" w:themeColor="followedHyperlink"/>
      <w:u w:val="single"/>
    </w:rPr>
  </w:style>
  <w:style w:type="paragraph" w:styleId="BodyTextIndent">
    <w:name w:val="Body Text Indent"/>
    <w:basedOn w:val="Normal"/>
    <w:link w:val="BodyTextIndentChar"/>
    <w:uiPriority w:val="99"/>
    <w:rsid w:val="00750B8A"/>
    <w:pPr>
      <w:spacing w:before="60" w:after="60" w:line="240" w:lineRule="auto"/>
      <w:ind w:left="360"/>
      <w:jc w:val="both"/>
    </w:pPr>
    <w:rPr>
      <w:rFonts w:ascii="Arial" w:eastAsia="Times New Roman" w:hAnsi="Arial" w:cs="Times New Roman"/>
      <w:sz w:val="24"/>
      <w:szCs w:val="24"/>
    </w:rPr>
  </w:style>
  <w:style w:type="character" w:customStyle="1" w:styleId="BodyTextIndentChar">
    <w:name w:val="Body Text Indent Char"/>
    <w:basedOn w:val="DefaultParagraphFont"/>
    <w:link w:val="BodyTextIndent"/>
    <w:uiPriority w:val="99"/>
    <w:rsid w:val="00750B8A"/>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93438">
      <w:bodyDiv w:val="1"/>
      <w:marLeft w:val="0"/>
      <w:marRight w:val="0"/>
      <w:marTop w:val="0"/>
      <w:marBottom w:val="0"/>
      <w:divBdr>
        <w:top w:val="none" w:sz="0" w:space="0" w:color="auto"/>
        <w:left w:val="none" w:sz="0" w:space="0" w:color="auto"/>
        <w:bottom w:val="none" w:sz="0" w:space="0" w:color="auto"/>
        <w:right w:val="none" w:sz="0" w:space="0" w:color="auto"/>
      </w:divBdr>
    </w:div>
    <w:div w:id="31073359">
      <w:bodyDiv w:val="1"/>
      <w:marLeft w:val="0"/>
      <w:marRight w:val="0"/>
      <w:marTop w:val="0"/>
      <w:marBottom w:val="0"/>
      <w:divBdr>
        <w:top w:val="none" w:sz="0" w:space="0" w:color="auto"/>
        <w:left w:val="none" w:sz="0" w:space="0" w:color="auto"/>
        <w:bottom w:val="none" w:sz="0" w:space="0" w:color="auto"/>
        <w:right w:val="none" w:sz="0" w:space="0" w:color="auto"/>
      </w:divBdr>
      <w:divsChild>
        <w:div w:id="1622497957">
          <w:marLeft w:val="547"/>
          <w:marRight w:val="0"/>
          <w:marTop w:val="0"/>
          <w:marBottom w:val="0"/>
          <w:divBdr>
            <w:top w:val="none" w:sz="0" w:space="0" w:color="auto"/>
            <w:left w:val="none" w:sz="0" w:space="0" w:color="auto"/>
            <w:bottom w:val="none" w:sz="0" w:space="0" w:color="auto"/>
            <w:right w:val="none" w:sz="0" w:space="0" w:color="auto"/>
          </w:divBdr>
        </w:div>
      </w:divsChild>
    </w:div>
    <w:div w:id="75711285">
      <w:bodyDiv w:val="1"/>
      <w:marLeft w:val="0"/>
      <w:marRight w:val="0"/>
      <w:marTop w:val="0"/>
      <w:marBottom w:val="0"/>
      <w:divBdr>
        <w:top w:val="none" w:sz="0" w:space="0" w:color="auto"/>
        <w:left w:val="none" w:sz="0" w:space="0" w:color="auto"/>
        <w:bottom w:val="none" w:sz="0" w:space="0" w:color="auto"/>
        <w:right w:val="none" w:sz="0" w:space="0" w:color="auto"/>
      </w:divBdr>
    </w:div>
    <w:div w:id="110130266">
      <w:bodyDiv w:val="1"/>
      <w:marLeft w:val="0"/>
      <w:marRight w:val="0"/>
      <w:marTop w:val="0"/>
      <w:marBottom w:val="0"/>
      <w:divBdr>
        <w:top w:val="none" w:sz="0" w:space="0" w:color="auto"/>
        <w:left w:val="none" w:sz="0" w:space="0" w:color="auto"/>
        <w:bottom w:val="none" w:sz="0" w:space="0" w:color="auto"/>
        <w:right w:val="none" w:sz="0" w:space="0" w:color="auto"/>
      </w:divBdr>
      <w:divsChild>
        <w:div w:id="253436086">
          <w:marLeft w:val="547"/>
          <w:marRight w:val="0"/>
          <w:marTop w:val="0"/>
          <w:marBottom w:val="0"/>
          <w:divBdr>
            <w:top w:val="none" w:sz="0" w:space="0" w:color="auto"/>
            <w:left w:val="none" w:sz="0" w:space="0" w:color="auto"/>
            <w:bottom w:val="none" w:sz="0" w:space="0" w:color="auto"/>
            <w:right w:val="none" w:sz="0" w:space="0" w:color="auto"/>
          </w:divBdr>
        </w:div>
      </w:divsChild>
    </w:div>
    <w:div w:id="140737876">
      <w:bodyDiv w:val="1"/>
      <w:marLeft w:val="0"/>
      <w:marRight w:val="0"/>
      <w:marTop w:val="0"/>
      <w:marBottom w:val="0"/>
      <w:divBdr>
        <w:top w:val="none" w:sz="0" w:space="0" w:color="auto"/>
        <w:left w:val="none" w:sz="0" w:space="0" w:color="auto"/>
        <w:bottom w:val="none" w:sz="0" w:space="0" w:color="auto"/>
        <w:right w:val="none" w:sz="0" w:space="0" w:color="auto"/>
      </w:divBdr>
    </w:div>
    <w:div w:id="156965807">
      <w:bodyDiv w:val="1"/>
      <w:marLeft w:val="0"/>
      <w:marRight w:val="0"/>
      <w:marTop w:val="0"/>
      <w:marBottom w:val="0"/>
      <w:divBdr>
        <w:top w:val="none" w:sz="0" w:space="0" w:color="auto"/>
        <w:left w:val="none" w:sz="0" w:space="0" w:color="auto"/>
        <w:bottom w:val="none" w:sz="0" w:space="0" w:color="auto"/>
        <w:right w:val="none" w:sz="0" w:space="0" w:color="auto"/>
      </w:divBdr>
    </w:div>
    <w:div w:id="165633819">
      <w:bodyDiv w:val="1"/>
      <w:marLeft w:val="0"/>
      <w:marRight w:val="0"/>
      <w:marTop w:val="0"/>
      <w:marBottom w:val="0"/>
      <w:divBdr>
        <w:top w:val="none" w:sz="0" w:space="0" w:color="auto"/>
        <w:left w:val="none" w:sz="0" w:space="0" w:color="auto"/>
        <w:bottom w:val="none" w:sz="0" w:space="0" w:color="auto"/>
        <w:right w:val="none" w:sz="0" w:space="0" w:color="auto"/>
      </w:divBdr>
    </w:div>
    <w:div w:id="185020199">
      <w:bodyDiv w:val="1"/>
      <w:marLeft w:val="0"/>
      <w:marRight w:val="0"/>
      <w:marTop w:val="0"/>
      <w:marBottom w:val="0"/>
      <w:divBdr>
        <w:top w:val="none" w:sz="0" w:space="0" w:color="auto"/>
        <w:left w:val="none" w:sz="0" w:space="0" w:color="auto"/>
        <w:bottom w:val="none" w:sz="0" w:space="0" w:color="auto"/>
        <w:right w:val="none" w:sz="0" w:space="0" w:color="auto"/>
      </w:divBdr>
    </w:div>
    <w:div w:id="190724201">
      <w:bodyDiv w:val="1"/>
      <w:marLeft w:val="0"/>
      <w:marRight w:val="0"/>
      <w:marTop w:val="0"/>
      <w:marBottom w:val="0"/>
      <w:divBdr>
        <w:top w:val="none" w:sz="0" w:space="0" w:color="auto"/>
        <w:left w:val="none" w:sz="0" w:space="0" w:color="auto"/>
        <w:bottom w:val="none" w:sz="0" w:space="0" w:color="auto"/>
        <w:right w:val="none" w:sz="0" w:space="0" w:color="auto"/>
      </w:divBdr>
    </w:div>
    <w:div w:id="255482228">
      <w:bodyDiv w:val="1"/>
      <w:marLeft w:val="0"/>
      <w:marRight w:val="0"/>
      <w:marTop w:val="0"/>
      <w:marBottom w:val="0"/>
      <w:divBdr>
        <w:top w:val="none" w:sz="0" w:space="0" w:color="auto"/>
        <w:left w:val="none" w:sz="0" w:space="0" w:color="auto"/>
        <w:bottom w:val="none" w:sz="0" w:space="0" w:color="auto"/>
        <w:right w:val="none" w:sz="0" w:space="0" w:color="auto"/>
      </w:divBdr>
    </w:div>
    <w:div w:id="298077001">
      <w:bodyDiv w:val="1"/>
      <w:marLeft w:val="0"/>
      <w:marRight w:val="0"/>
      <w:marTop w:val="0"/>
      <w:marBottom w:val="0"/>
      <w:divBdr>
        <w:top w:val="none" w:sz="0" w:space="0" w:color="auto"/>
        <w:left w:val="none" w:sz="0" w:space="0" w:color="auto"/>
        <w:bottom w:val="none" w:sz="0" w:space="0" w:color="auto"/>
        <w:right w:val="none" w:sz="0" w:space="0" w:color="auto"/>
      </w:divBdr>
    </w:div>
    <w:div w:id="410665511">
      <w:bodyDiv w:val="1"/>
      <w:marLeft w:val="0"/>
      <w:marRight w:val="0"/>
      <w:marTop w:val="0"/>
      <w:marBottom w:val="0"/>
      <w:divBdr>
        <w:top w:val="none" w:sz="0" w:space="0" w:color="auto"/>
        <w:left w:val="none" w:sz="0" w:space="0" w:color="auto"/>
        <w:bottom w:val="none" w:sz="0" w:space="0" w:color="auto"/>
        <w:right w:val="none" w:sz="0" w:space="0" w:color="auto"/>
      </w:divBdr>
    </w:div>
    <w:div w:id="576480746">
      <w:bodyDiv w:val="1"/>
      <w:marLeft w:val="0"/>
      <w:marRight w:val="0"/>
      <w:marTop w:val="0"/>
      <w:marBottom w:val="0"/>
      <w:divBdr>
        <w:top w:val="none" w:sz="0" w:space="0" w:color="auto"/>
        <w:left w:val="none" w:sz="0" w:space="0" w:color="auto"/>
        <w:bottom w:val="none" w:sz="0" w:space="0" w:color="auto"/>
        <w:right w:val="none" w:sz="0" w:space="0" w:color="auto"/>
      </w:divBdr>
    </w:div>
    <w:div w:id="581108236">
      <w:bodyDiv w:val="1"/>
      <w:marLeft w:val="0"/>
      <w:marRight w:val="0"/>
      <w:marTop w:val="0"/>
      <w:marBottom w:val="0"/>
      <w:divBdr>
        <w:top w:val="none" w:sz="0" w:space="0" w:color="auto"/>
        <w:left w:val="none" w:sz="0" w:space="0" w:color="auto"/>
        <w:bottom w:val="none" w:sz="0" w:space="0" w:color="auto"/>
        <w:right w:val="none" w:sz="0" w:space="0" w:color="auto"/>
      </w:divBdr>
    </w:div>
    <w:div w:id="598295441">
      <w:bodyDiv w:val="1"/>
      <w:marLeft w:val="0"/>
      <w:marRight w:val="0"/>
      <w:marTop w:val="0"/>
      <w:marBottom w:val="0"/>
      <w:divBdr>
        <w:top w:val="none" w:sz="0" w:space="0" w:color="auto"/>
        <w:left w:val="none" w:sz="0" w:space="0" w:color="auto"/>
        <w:bottom w:val="none" w:sz="0" w:space="0" w:color="auto"/>
        <w:right w:val="none" w:sz="0" w:space="0" w:color="auto"/>
      </w:divBdr>
      <w:divsChild>
        <w:div w:id="1522159359">
          <w:marLeft w:val="547"/>
          <w:marRight w:val="0"/>
          <w:marTop w:val="0"/>
          <w:marBottom w:val="0"/>
          <w:divBdr>
            <w:top w:val="none" w:sz="0" w:space="0" w:color="auto"/>
            <w:left w:val="none" w:sz="0" w:space="0" w:color="auto"/>
            <w:bottom w:val="none" w:sz="0" w:space="0" w:color="auto"/>
            <w:right w:val="none" w:sz="0" w:space="0" w:color="auto"/>
          </w:divBdr>
        </w:div>
      </w:divsChild>
    </w:div>
    <w:div w:id="620646343">
      <w:bodyDiv w:val="1"/>
      <w:marLeft w:val="0"/>
      <w:marRight w:val="0"/>
      <w:marTop w:val="0"/>
      <w:marBottom w:val="0"/>
      <w:divBdr>
        <w:top w:val="none" w:sz="0" w:space="0" w:color="auto"/>
        <w:left w:val="none" w:sz="0" w:space="0" w:color="auto"/>
        <w:bottom w:val="none" w:sz="0" w:space="0" w:color="auto"/>
        <w:right w:val="none" w:sz="0" w:space="0" w:color="auto"/>
      </w:divBdr>
    </w:div>
    <w:div w:id="636374769">
      <w:bodyDiv w:val="1"/>
      <w:marLeft w:val="0"/>
      <w:marRight w:val="0"/>
      <w:marTop w:val="0"/>
      <w:marBottom w:val="0"/>
      <w:divBdr>
        <w:top w:val="none" w:sz="0" w:space="0" w:color="auto"/>
        <w:left w:val="none" w:sz="0" w:space="0" w:color="auto"/>
        <w:bottom w:val="none" w:sz="0" w:space="0" w:color="auto"/>
        <w:right w:val="none" w:sz="0" w:space="0" w:color="auto"/>
      </w:divBdr>
      <w:divsChild>
        <w:div w:id="1055590178">
          <w:marLeft w:val="547"/>
          <w:marRight w:val="0"/>
          <w:marTop w:val="0"/>
          <w:marBottom w:val="0"/>
          <w:divBdr>
            <w:top w:val="none" w:sz="0" w:space="0" w:color="auto"/>
            <w:left w:val="none" w:sz="0" w:space="0" w:color="auto"/>
            <w:bottom w:val="none" w:sz="0" w:space="0" w:color="auto"/>
            <w:right w:val="none" w:sz="0" w:space="0" w:color="auto"/>
          </w:divBdr>
        </w:div>
      </w:divsChild>
    </w:div>
    <w:div w:id="682363233">
      <w:bodyDiv w:val="1"/>
      <w:marLeft w:val="0"/>
      <w:marRight w:val="0"/>
      <w:marTop w:val="0"/>
      <w:marBottom w:val="0"/>
      <w:divBdr>
        <w:top w:val="none" w:sz="0" w:space="0" w:color="auto"/>
        <w:left w:val="none" w:sz="0" w:space="0" w:color="auto"/>
        <w:bottom w:val="none" w:sz="0" w:space="0" w:color="auto"/>
        <w:right w:val="none" w:sz="0" w:space="0" w:color="auto"/>
      </w:divBdr>
    </w:div>
    <w:div w:id="767894492">
      <w:bodyDiv w:val="1"/>
      <w:marLeft w:val="0"/>
      <w:marRight w:val="0"/>
      <w:marTop w:val="0"/>
      <w:marBottom w:val="0"/>
      <w:divBdr>
        <w:top w:val="none" w:sz="0" w:space="0" w:color="auto"/>
        <w:left w:val="none" w:sz="0" w:space="0" w:color="auto"/>
        <w:bottom w:val="none" w:sz="0" w:space="0" w:color="auto"/>
        <w:right w:val="none" w:sz="0" w:space="0" w:color="auto"/>
      </w:divBdr>
    </w:div>
    <w:div w:id="981467222">
      <w:bodyDiv w:val="1"/>
      <w:marLeft w:val="0"/>
      <w:marRight w:val="0"/>
      <w:marTop w:val="0"/>
      <w:marBottom w:val="0"/>
      <w:divBdr>
        <w:top w:val="none" w:sz="0" w:space="0" w:color="auto"/>
        <w:left w:val="none" w:sz="0" w:space="0" w:color="auto"/>
        <w:bottom w:val="none" w:sz="0" w:space="0" w:color="auto"/>
        <w:right w:val="none" w:sz="0" w:space="0" w:color="auto"/>
      </w:divBdr>
    </w:div>
    <w:div w:id="1053505275">
      <w:bodyDiv w:val="1"/>
      <w:marLeft w:val="0"/>
      <w:marRight w:val="0"/>
      <w:marTop w:val="0"/>
      <w:marBottom w:val="0"/>
      <w:divBdr>
        <w:top w:val="none" w:sz="0" w:space="0" w:color="auto"/>
        <w:left w:val="none" w:sz="0" w:space="0" w:color="auto"/>
        <w:bottom w:val="none" w:sz="0" w:space="0" w:color="auto"/>
        <w:right w:val="none" w:sz="0" w:space="0" w:color="auto"/>
      </w:divBdr>
      <w:divsChild>
        <w:div w:id="1839078283">
          <w:marLeft w:val="547"/>
          <w:marRight w:val="0"/>
          <w:marTop w:val="0"/>
          <w:marBottom w:val="0"/>
          <w:divBdr>
            <w:top w:val="none" w:sz="0" w:space="0" w:color="auto"/>
            <w:left w:val="none" w:sz="0" w:space="0" w:color="auto"/>
            <w:bottom w:val="none" w:sz="0" w:space="0" w:color="auto"/>
            <w:right w:val="none" w:sz="0" w:space="0" w:color="auto"/>
          </w:divBdr>
        </w:div>
      </w:divsChild>
    </w:div>
    <w:div w:id="1152676862">
      <w:bodyDiv w:val="1"/>
      <w:marLeft w:val="0"/>
      <w:marRight w:val="0"/>
      <w:marTop w:val="0"/>
      <w:marBottom w:val="0"/>
      <w:divBdr>
        <w:top w:val="none" w:sz="0" w:space="0" w:color="auto"/>
        <w:left w:val="none" w:sz="0" w:space="0" w:color="auto"/>
        <w:bottom w:val="none" w:sz="0" w:space="0" w:color="auto"/>
        <w:right w:val="none" w:sz="0" w:space="0" w:color="auto"/>
      </w:divBdr>
      <w:divsChild>
        <w:div w:id="1103964068">
          <w:marLeft w:val="547"/>
          <w:marRight w:val="0"/>
          <w:marTop w:val="0"/>
          <w:marBottom w:val="0"/>
          <w:divBdr>
            <w:top w:val="none" w:sz="0" w:space="0" w:color="auto"/>
            <w:left w:val="none" w:sz="0" w:space="0" w:color="auto"/>
            <w:bottom w:val="none" w:sz="0" w:space="0" w:color="auto"/>
            <w:right w:val="none" w:sz="0" w:space="0" w:color="auto"/>
          </w:divBdr>
        </w:div>
      </w:divsChild>
    </w:div>
    <w:div w:id="1204169870">
      <w:bodyDiv w:val="1"/>
      <w:marLeft w:val="0"/>
      <w:marRight w:val="0"/>
      <w:marTop w:val="0"/>
      <w:marBottom w:val="0"/>
      <w:divBdr>
        <w:top w:val="none" w:sz="0" w:space="0" w:color="auto"/>
        <w:left w:val="none" w:sz="0" w:space="0" w:color="auto"/>
        <w:bottom w:val="none" w:sz="0" w:space="0" w:color="auto"/>
        <w:right w:val="none" w:sz="0" w:space="0" w:color="auto"/>
      </w:divBdr>
    </w:div>
    <w:div w:id="1221286227">
      <w:bodyDiv w:val="1"/>
      <w:marLeft w:val="0"/>
      <w:marRight w:val="0"/>
      <w:marTop w:val="0"/>
      <w:marBottom w:val="0"/>
      <w:divBdr>
        <w:top w:val="none" w:sz="0" w:space="0" w:color="auto"/>
        <w:left w:val="none" w:sz="0" w:space="0" w:color="auto"/>
        <w:bottom w:val="none" w:sz="0" w:space="0" w:color="auto"/>
        <w:right w:val="none" w:sz="0" w:space="0" w:color="auto"/>
      </w:divBdr>
    </w:div>
    <w:div w:id="1260719819">
      <w:bodyDiv w:val="1"/>
      <w:marLeft w:val="0"/>
      <w:marRight w:val="0"/>
      <w:marTop w:val="0"/>
      <w:marBottom w:val="0"/>
      <w:divBdr>
        <w:top w:val="none" w:sz="0" w:space="0" w:color="auto"/>
        <w:left w:val="none" w:sz="0" w:space="0" w:color="auto"/>
        <w:bottom w:val="none" w:sz="0" w:space="0" w:color="auto"/>
        <w:right w:val="none" w:sz="0" w:space="0" w:color="auto"/>
      </w:divBdr>
    </w:div>
    <w:div w:id="1492679179">
      <w:bodyDiv w:val="1"/>
      <w:marLeft w:val="0"/>
      <w:marRight w:val="0"/>
      <w:marTop w:val="0"/>
      <w:marBottom w:val="0"/>
      <w:divBdr>
        <w:top w:val="none" w:sz="0" w:space="0" w:color="auto"/>
        <w:left w:val="none" w:sz="0" w:space="0" w:color="auto"/>
        <w:bottom w:val="none" w:sz="0" w:space="0" w:color="auto"/>
        <w:right w:val="none" w:sz="0" w:space="0" w:color="auto"/>
      </w:divBdr>
    </w:div>
    <w:div w:id="1504122486">
      <w:bodyDiv w:val="1"/>
      <w:marLeft w:val="0"/>
      <w:marRight w:val="0"/>
      <w:marTop w:val="0"/>
      <w:marBottom w:val="0"/>
      <w:divBdr>
        <w:top w:val="none" w:sz="0" w:space="0" w:color="auto"/>
        <w:left w:val="none" w:sz="0" w:space="0" w:color="auto"/>
        <w:bottom w:val="none" w:sz="0" w:space="0" w:color="auto"/>
        <w:right w:val="none" w:sz="0" w:space="0" w:color="auto"/>
      </w:divBdr>
    </w:div>
    <w:div w:id="1572034103">
      <w:bodyDiv w:val="1"/>
      <w:marLeft w:val="0"/>
      <w:marRight w:val="0"/>
      <w:marTop w:val="0"/>
      <w:marBottom w:val="0"/>
      <w:divBdr>
        <w:top w:val="none" w:sz="0" w:space="0" w:color="auto"/>
        <w:left w:val="none" w:sz="0" w:space="0" w:color="auto"/>
        <w:bottom w:val="none" w:sz="0" w:space="0" w:color="auto"/>
        <w:right w:val="none" w:sz="0" w:space="0" w:color="auto"/>
      </w:divBdr>
    </w:div>
    <w:div w:id="1593854104">
      <w:bodyDiv w:val="1"/>
      <w:marLeft w:val="0"/>
      <w:marRight w:val="0"/>
      <w:marTop w:val="0"/>
      <w:marBottom w:val="0"/>
      <w:divBdr>
        <w:top w:val="none" w:sz="0" w:space="0" w:color="auto"/>
        <w:left w:val="none" w:sz="0" w:space="0" w:color="auto"/>
        <w:bottom w:val="none" w:sz="0" w:space="0" w:color="auto"/>
        <w:right w:val="none" w:sz="0" w:space="0" w:color="auto"/>
      </w:divBdr>
    </w:div>
    <w:div w:id="1631469919">
      <w:bodyDiv w:val="1"/>
      <w:marLeft w:val="0"/>
      <w:marRight w:val="0"/>
      <w:marTop w:val="0"/>
      <w:marBottom w:val="0"/>
      <w:divBdr>
        <w:top w:val="none" w:sz="0" w:space="0" w:color="auto"/>
        <w:left w:val="none" w:sz="0" w:space="0" w:color="auto"/>
        <w:bottom w:val="none" w:sz="0" w:space="0" w:color="auto"/>
        <w:right w:val="none" w:sz="0" w:space="0" w:color="auto"/>
      </w:divBdr>
    </w:div>
    <w:div w:id="1678386656">
      <w:bodyDiv w:val="1"/>
      <w:marLeft w:val="0"/>
      <w:marRight w:val="0"/>
      <w:marTop w:val="0"/>
      <w:marBottom w:val="0"/>
      <w:divBdr>
        <w:top w:val="none" w:sz="0" w:space="0" w:color="auto"/>
        <w:left w:val="none" w:sz="0" w:space="0" w:color="auto"/>
        <w:bottom w:val="none" w:sz="0" w:space="0" w:color="auto"/>
        <w:right w:val="none" w:sz="0" w:space="0" w:color="auto"/>
      </w:divBdr>
      <w:divsChild>
        <w:div w:id="620189224">
          <w:marLeft w:val="547"/>
          <w:marRight w:val="0"/>
          <w:marTop w:val="0"/>
          <w:marBottom w:val="0"/>
          <w:divBdr>
            <w:top w:val="none" w:sz="0" w:space="0" w:color="auto"/>
            <w:left w:val="none" w:sz="0" w:space="0" w:color="auto"/>
            <w:bottom w:val="none" w:sz="0" w:space="0" w:color="auto"/>
            <w:right w:val="none" w:sz="0" w:space="0" w:color="auto"/>
          </w:divBdr>
        </w:div>
      </w:divsChild>
    </w:div>
    <w:div w:id="1791127060">
      <w:bodyDiv w:val="1"/>
      <w:marLeft w:val="0"/>
      <w:marRight w:val="0"/>
      <w:marTop w:val="0"/>
      <w:marBottom w:val="0"/>
      <w:divBdr>
        <w:top w:val="none" w:sz="0" w:space="0" w:color="auto"/>
        <w:left w:val="none" w:sz="0" w:space="0" w:color="auto"/>
        <w:bottom w:val="none" w:sz="0" w:space="0" w:color="auto"/>
        <w:right w:val="none" w:sz="0" w:space="0" w:color="auto"/>
      </w:divBdr>
    </w:div>
    <w:div w:id="1871919636">
      <w:bodyDiv w:val="1"/>
      <w:marLeft w:val="0"/>
      <w:marRight w:val="0"/>
      <w:marTop w:val="0"/>
      <w:marBottom w:val="0"/>
      <w:divBdr>
        <w:top w:val="none" w:sz="0" w:space="0" w:color="auto"/>
        <w:left w:val="none" w:sz="0" w:space="0" w:color="auto"/>
        <w:bottom w:val="none" w:sz="0" w:space="0" w:color="auto"/>
        <w:right w:val="none" w:sz="0" w:space="0" w:color="auto"/>
      </w:divBdr>
    </w:div>
    <w:div w:id="1872380613">
      <w:bodyDiv w:val="1"/>
      <w:marLeft w:val="0"/>
      <w:marRight w:val="0"/>
      <w:marTop w:val="0"/>
      <w:marBottom w:val="0"/>
      <w:divBdr>
        <w:top w:val="none" w:sz="0" w:space="0" w:color="auto"/>
        <w:left w:val="none" w:sz="0" w:space="0" w:color="auto"/>
        <w:bottom w:val="none" w:sz="0" w:space="0" w:color="auto"/>
        <w:right w:val="none" w:sz="0" w:space="0" w:color="auto"/>
      </w:divBdr>
    </w:div>
    <w:div w:id="1874533851">
      <w:bodyDiv w:val="1"/>
      <w:marLeft w:val="0"/>
      <w:marRight w:val="0"/>
      <w:marTop w:val="0"/>
      <w:marBottom w:val="0"/>
      <w:divBdr>
        <w:top w:val="none" w:sz="0" w:space="0" w:color="auto"/>
        <w:left w:val="none" w:sz="0" w:space="0" w:color="auto"/>
        <w:bottom w:val="none" w:sz="0" w:space="0" w:color="auto"/>
        <w:right w:val="none" w:sz="0" w:space="0" w:color="auto"/>
      </w:divBdr>
    </w:div>
    <w:div w:id="1875314204">
      <w:bodyDiv w:val="1"/>
      <w:marLeft w:val="0"/>
      <w:marRight w:val="0"/>
      <w:marTop w:val="0"/>
      <w:marBottom w:val="0"/>
      <w:divBdr>
        <w:top w:val="none" w:sz="0" w:space="0" w:color="auto"/>
        <w:left w:val="none" w:sz="0" w:space="0" w:color="auto"/>
        <w:bottom w:val="none" w:sz="0" w:space="0" w:color="auto"/>
        <w:right w:val="none" w:sz="0" w:space="0" w:color="auto"/>
      </w:divBdr>
    </w:div>
    <w:div w:id="1875382424">
      <w:bodyDiv w:val="1"/>
      <w:marLeft w:val="0"/>
      <w:marRight w:val="0"/>
      <w:marTop w:val="0"/>
      <w:marBottom w:val="0"/>
      <w:divBdr>
        <w:top w:val="none" w:sz="0" w:space="0" w:color="auto"/>
        <w:left w:val="none" w:sz="0" w:space="0" w:color="auto"/>
        <w:bottom w:val="none" w:sz="0" w:space="0" w:color="auto"/>
        <w:right w:val="none" w:sz="0" w:space="0" w:color="auto"/>
      </w:divBdr>
    </w:div>
    <w:div w:id="1881017023">
      <w:bodyDiv w:val="1"/>
      <w:marLeft w:val="0"/>
      <w:marRight w:val="0"/>
      <w:marTop w:val="0"/>
      <w:marBottom w:val="0"/>
      <w:divBdr>
        <w:top w:val="none" w:sz="0" w:space="0" w:color="auto"/>
        <w:left w:val="none" w:sz="0" w:space="0" w:color="auto"/>
        <w:bottom w:val="none" w:sz="0" w:space="0" w:color="auto"/>
        <w:right w:val="none" w:sz="0" w:space="0" w:color="auto"/>
      </w:divBdr>
    </w:div>
    <w:div w:id="1904828225">
      <w:bodyDiv w:val="1"/>
      <w:marLeft w:val="0"/>
      <w:marRight w:val="0"/>
      <w:marTop w:val="0"/>
      <w:marBottom w:val="0"/>
      <w:divBdr>
        <w:top w:val="none" w:sz="0" w:space="0" w:color="auto"/>
        <w:left w:val="none" w:sz="0" w:space="0" w:color="auto"/>
        <w:bottom w:val="none" w:sz="0" w:space="0" w:color="auto"/>
        <w:right w:val="none" w:sz="0" w:space="0" w:color="auto"/>
      </w:divBdr>
    </w:div>
    <w:div w:id="1955474444">
      <w:bodyDiv w:val="1"/>
      <w:marLeft w:val="0"/>
      <w:marRight w:val="0"/>
      <w:marTop w:val="0"/>
      <w:marBottom w:val="0"/>
      <w:divBdr>
        <w:top w:val="none" w:sz="0" w:space="0" w:color="auto"/>
        <w:left w:val="none" w:sz="0" w:space="0" w:color="auto"/>
        <w:bottom w:val="none" w:sz="0" w:space="0" w:color="auto"/>
        <w:right w:val="none" w:sz="0" w:space="0" w:color="auto"/>
      </w:divBdr>
    </w:div>
    <w:div w:id="1994142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117" Type="http://schemas.openxmlformats.org/officeDocument/2006/relationships/image" Target="media/image28.jpeg"/><Relationship Id="rId21" Type="http://schemas.openxmlformats.org/officeDocument/2006/relationships/diagramQuickStyle" Target="diagrams/quickStyle3.xml"/><Relationship Id="rId42" Type="http://schemas.microsoft.com/office/2007/relationships/diagramDrawing" Target="diagrams/drawing5.xml"/><Relationship Id="rId47" Type="http://schemas.microsoft.com/office/2007/relationships/diagramDrawing" Target="diagrams/drawing6.xml"/><Relationship Id="rId63" Type="http://schemas.openxmlformats.org/officeDocument/2006/relationships/image" Target="media/image4.png"/><Relationship Id="rId68" Type="http://schemas.openxmlformats.org/officeDocument/2006/relationships/diagramLayout" Target="diagrams/layout9.xml"/><Relationship Id="rId84" Type="http://schemas.openxmlformats.org/officeDocument/2006/relationships/diagramColors" Target="diagrams/colors11.xml"/><Relationship Id="rId89" Type="http://schemas.openxmlformats.org/officeDocument/2006/relationships/diagramLayout" Target="diagrams/layout12.xml"/><Relationship Id="rId112" Type="http://schemas.openxmlformats.org/officeDocument/2006/relationships/image" Target="media/image23.png"/><Relationship Id="rId16" Type="http://schemas.openxmlformats.org/officeDocument/2006/relationships/diagramQuickStyle" Target="diagrams/quickStyle2.xml"/><Relationship Id="rId107" Type="http://schemas.openxmlformats.org/officeDocument/2006/relationships/image" Target="media/image18.png"/><Relationship Id="rId11" Type="http://schemas.openxmlformats.org/officeDocument/2006/relationships/diagramQuickStyle" Target="diagrams/quickStyle1.xml"/><Relationship Id="rId32" Type="http://schemas.openxmlformats.org/officeDocument/2006/relationships/chart" Target="charts/chart8.xml"/><Relationship Id="rId37" Type="http://schemas.microsoft.com/office/2007/relationships/diagramDrawing" Target="diagrams/drawing4.xml"/><Relationship Id="rId53" Type="http://schemas.microsoft.com/office/2007/relationships/diagramDrawing" Target="diagrams/drawing7.xml"/><Relationship Id="rId58" Type="http://schemas.openxmlformats.org/officeDocument/2006/relationships/diagramQuickStyle" Target="diagrams/quickStyle8.xml"/><Relationship Id="rId74" Type="http://schemas.openxmlformats.org/officeDocument/2006/relationships/diagramData" Target="diagrams/data10.xml"/><Relationship Id="rId79" Type="http://schemas.openxmlformats.org/officeDocument/2006/relationships/image" Target="media/image9.png"/><Relationship Id="rId102" Type="http://schemas.microsoft.com/office/2007/relationships/diagramDrawing" Target="diagrams/drawing13.xml"/><Relationship Id="rId5" Type="http://schemas.openxmlformats.org/officeDocument/2006/relationships/webSettings" Target="webSettings.xml"/><Relationship Id="rId90" Type="http://schemas.openxmlformats.org/officeDocument/2006/relationships/diagramQuickStyle" Target="diagrams/quickStyle12.xml"/><Relationship Id="rId95" Type="http://schemas.openxmlformats.org/officeDocument/2006/relationships/hyperlink" Target="https://www.medin.org.uk/about/sponsors-and-partners" TargetMode="External"/><Relationship Id="rId22" Type="http://schemas.openxmlformats.org/officeDocument/2006/relationships/diagramColors" Target="diagrams/colors3.xml"/><Relationship Id="rId27" Type="http://schemas.openxmlformats.org/officeDocument/2006/relationships/chart" Target="charts/chart3.xml"/><Relationship Id="rId43" Type="http://schemas.openxmlformats.org/officeDocument/2006/relationships/diagramData" Target="diagrams/data6.xml"/><Relationship Id="rId48" Type="http://schemas.openxmlformats.org/officeDocument/2006/relationships/chart" Target="charts/chart9.xml"/><Relationship Id="rId64" Type="http://schemas.openxmlformats.org/officeDocument/2006/relationships/image" Target="media/image5.png"/><Relationship Id="rId69" Type="http://schemas.openxmlformats.org/officeDocument/2006/relationships/diagramQuickStyle" Target="diagrams/quickStyle9.xml"/><Relationship Id="rId113" Type="http://schemas.openxmlformats.org/officeDocument/2006/relationships/image" Target="media/image24.jpeg"/><Relationship Id="rId118" Type="http://schemas.openxmlformats.org/officeDocument/2006/relationships/hyperlink" Target="https://www.medin.org.uk/about/sponsors-and-partners" TargetMode="External"/><Relationship Id="rId80" Type="http://schemas.openxmlformats.org/officeDocument/2006/relationships/image" Target="media/image10.png"/><Relationship Id="rId85" Type="http://schemas.microsoft.com/office/2007/relationships/diagramDrawing" Target="diagrams/drawing11.xml"/><Relationship Id="rId12" Type="http://schemas.openxmlformats.org/officeDocument/2006/relationships/diagramColors" Target="diagrams/colors1.xml"/><Relationship Id="rId17" Type="http://schemas.openxmlformats.org/officeDocument/2006/relationships/diagramColors" Target="diagrams/colors2.xml"/><Relationship Id="rId33" Type="http://schemas.openxmlformats.org/officeDocument/2006/relationships/diagramData" Target="diagrams/data4.xml"/><Relationship Id="rId38" Type="http://schemas.openxmlformats.org/officeDocument/2006/relationships/diagramData" Target="diagrams/data5.xml"/><Relationship Id="rId59" Type="http://schemas.openxmlformats.org/officeDocument/2006/relationships/diagramColors" Target="diagrams/colors8.xml"/><Relationship Id="rId103" Type="http://schemas.openxmlformats.org/officeDocument/2006/relationships/image" Target="media/image14.png"/><Relationship Id="rId108" Type="http://schemas.openxmlformats.org/officeDocument/2006/relationships/image" Target="media/image19.jpeg"/><Relationship Id="rId54" Type="http://schemas.openxmlformats.org/officeDocument/2006/relationships/chart" Target="charts/chart10.xml"/><Relationship Id="rId70" Type="http://schemas.openxmlformats.org/officeDocument/2006/relationships/diagramColors" Target="diagrams/colors9.xml"/><Relationship Id="rId75" Type="http://schemas.openxmlformats.org/officeDocument/2006/relationships/diagramLayout" Target="diagrams/layout10.xml"/><Relationship Id="rId91" Type="http://schemas.openxmlformats.org/officeDocument/2006/relationships/diagramColors" Target="diagrams/colors12.xml"/><Relationship Id="rId96" Type="http://schemas.openxmlformats.org/officeDocument/2006/relationships/hyperlink" Target="mailto:enquiries@medin.org.uk"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diagramDrawing" Target="diagrams/drawing3.xml"/><Relationship Id="rId28" Type="http://schemas.openxmlformats.org/officeDocument/2006/relationships/chart" Target="charts/chart4.xml"/><Relationship Id="rId49" Type="http://schemas.openxmlformats.org/officeDocument/2006/relationships/diagramData" Target="diagrams/data7.xml"/><Relationship Id="rId114" Type="http://schemas.openxmlformats.org/officeDocument/2006/relationships/image" Target="media/image25.jpeg"/><Relationship Id="rId119" Type="http://schemas.openxmlformats.org/officeDocument/2006/relationships/header" Target="header1.xml"/><Relationship Id="rId44" Type="http://schemas.openxmlformats.org/officeDocument/2006/relationships/diagramLayout" Target="diagrams/layout6.xml"/><Relationship Id="rId60" Type="http://schemas.microsoft.com/office/2007/relationships/diagramDrawing" Target="diagrams/drawing8.xml"/><Relationship Id="rId65" Type="http://schemas.openxmlformats.org/officeDocument/2006/relationships/image" Target="media/image6.png"/><Relationship Id="rId81" Type="http://schemas.openxmlformats.org/officeDocument/2006/relationships/diagramData" Target="diagrams/data11.xml"/><Relationship Id="rId86"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diagramLayout" Target="diagrams/layout5.xml"/><Relationship Id="rId109" Type="http://schemas.openxmlformats.org/officeDocument/2006/relationships/image" Target="media/image20.jpg"/><Relationship Id="rId34" Type="http://schemas.openxmlformats.org/officeDocument/2006/relationships/diagramLayout" Target="diagrams/layout4.xml"/><Relationship Id="rId50" Type="http://schemas.openxmlformats.org/officeDocument/2006/relationships/diagramLayout" Target="diagrams/layout7.xml"/><Relationship Id="rId55" Type="http://schemas.openxmlformats.org/officeDocument/2006/relationships/chart" Target="charts/chart11.xml"/><Relationship Id="rId76" Type="http://schemas.openxmlformats.org/officeDocument/2006/relationships/diagramQuickStyle" Target="diagrams/quickStyle10.xml"/><Relationship Id="rId97" Type="http://schemas.openxmlformats.org/officeDocument/2006/relationships/image" Target="media/image13.jpg"/><Relationship Id="rId104" Type="http://schemas.openxmlformats.org/officeDocument/2006/relationships/image" Target="media/image15.jpeg"/><Relationship Id="rId120" Type="http://schemas.openxmlformats.org/officeDocument/2006/relationships/footer" Target="footer1.xml"/><Relationship Id="rId7" Type="http://schemas.openxmlformats.org/officeDocument/2006/relationships/endnotes" Target="endnotes.xml"/><Relationship Id="rId71" Type="http://schemas.microsoft.com/office/2007/relationships/diagramDrawing" Target="diagrams/drawing9.xml"/><Relationship Id="rId92" Type="http://schemas.microsoft.com/office/2007/relationships/diagramDrawing" Target="diagrams/drawing12.xml"/><Relationship Id="rId2" Type="http://schemas.openxmlformats.org/officeDocument/2006/relationships/numbering" Target="numbering.xml"/><Relationship Id="rId29" Type="http://schemas.openxmlformats.org/officeDocument/2006/relationships/chart" Target="charts/chart5.xml"/><Relationship Id="rId24" Type="http://schemas.openxmlformats.org/officeDocument/2006/relationships/hyperlink" Target="https://www.medin.org.uk/medin/sites/medin/files/documents/MEDIN_Business_Plan_201924_final.pdf" TargetMode="External"/><Relationship Id="rId40" Type="http://schemas.openxmlformats.org/officeDocument/2006/relationships/diagramQuickStyle" Target="diagrams/quickStyle5.xml"/><Relationship Id="rId45" Type="http://schemas.openxmlformats.org/officeDocument/2006/relationships/diagramQuickStyle" Target="diagrams/quickStyle6.xml"/><Relationship Id="rId66" Type="http://schemas.openxmlformats.org/officeDocument/2006/relationships/chart" Target="charts/chart13.xml"/><Relationship Id="rId87" Type="http://schemas.openxmlformats.org/officeDocument/2006/relationships/image" Target="media/image12.jpg"/><Relationship Id="rId110" Type="http://schemas.openxmlformats.org/officeDocument/2006/relationships/image" Target="media/image21.png"/><Relationship Id="rId115" Type="http://schemas.openxmlformats.org/officeDocument/2006/relationships/image" Target="media/image26.jpeg"/><Relationship Id="rId61" Type="http://schemas.openxmlformats.org/officeDocument/2006/relationships/chart" Target="charts/chart12.xml"/><Relationship Id="rId82" Type="http://schemas.openxmlformats.org/officeDocument/2006/relationships/diagramLayout" Target="diagrams/layout11.xml"/><Relationship Id="rId19" Type="http://schemas.openxmlformats.org/officeDocument/2006/relationships/diagramData" Target="diagrams/data3.xml"/><Relationship Id="rId14" Type="http://schemas.openxmlformats.org/officeDocument/2006/relationships/diagramData" Target="diagrams/data2.xml"/><Relationship Id="rId30" Type="http://schemas.openxmlformats.org/officeDocument/2006/relationships/chart" Target="charts/chart6.xml"/><Relationship Id="rId35" Type="http://schemas.openxmlformats.org/officeDocument/2006/relationships/diagramQuickStyle" Target="diagrams/quickStyle4.xml"/><Relationship Id="rId56" Type="http://schemas.openxmlformats.org/officeDocument/2006/relationships/diagramData" Target="diagrams/data8.xml"/><Relationship Id="rId77" Type="http://schemas.openxmlformats.org/officeDocument/2006/relationships/diagramColors" Target="diagrams/colors10.xml"/><Relationship Id="rId100" Type="http://schemas.openxmlformats.org/officeDocument/2006/relationships/diagramQuickStyle" Target="diagrams/quickStyle13.xml"/><Relationship Id="rId105" Type="http://schemas.openxmlformats.org/officeDocument/2006/relationships/image" Target="media/image16.png"/><Relationship Id="rId8" Type="http://schemas.openxmlformats.org/officeDocument/2006/relationships/image" Target="media/image1.jpeg"/><Relationship Id="rId51" Type="http://schemas.openxmlformats.org/officeDocument/2006/relationships/diagramQuickStyle" Target="diagrams/quickStyle7.xml"/><Relationship Id="rId72" Type="http://schemas.openxmlformats.org/officeDocument/2006/relationships/image" Target="media/image7.png"/><Relationship Id="rId93" Type="http://schemas.openxmlformats.org/officeDocument/2006/relationships/hyperlink" Target="https://www.nature.scot/funding-and-projects/community-led-marine-biodiversity-monitoring-project/marine-monitoring-handbook" TargetMode="External"/><Relationship Id="rId98" Type="http://schemas.openxmlformats.org/officeDocument/2006/relationships/diagramData" Target="diagrams/data13.xm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chart" Target="charts/chart1.xml"/><Relationship Id="rId46" Type="http://schemas.openxmlformats.org/officeDocument/2006/relationships/diagramColors" Target="diagrams/colors6.xml"/><Relationship Id="rId67" Type="http://schemas.openxmlformats.org/officeDocument/2006/relationships/diagramData" Target="diagrams/data9.xml"/><Relationship Id="rId116" Type="http://schemas.openxmlformats.org/officeDocument/2006/relationships/image" Target="media/image27.jpeg"/><Relationship Id="rId20" Type="http://schemas.openxmlformats.org/officeDocument/2006/relationships/diagramLayout" Target="diagrams/layout3.xml"/><Relationship Id="rId41" Type="http://schemas.openxmlformats.org/officeDocument/2006/relationships/diagramColors" Target="diagrams/colors5.xml"/><Relationship Id="rId62" Type="http://schemas.openxmlformats.org/officeDocument/2006/relationships/image" Target="media/image3.png"/><Relationship Id="rId83" Type="http://schemas.openxmlformats.org/officeDocument/2006/relationships/diagramQuickStyle" Target="diagrams/quickStyle11.xml"/><Relationship Id="rId88" Type="http://schemas.openxmlformats.org/officeDocument/2006/relationships/diagramData" Target="diagrams/data12.xml"/><Relationship Id="rId111" Type="http://schemas.openxmlformats.org/officeDocument/2006/relationships/image" Target="media/image22.jpeg"/><Relationship Id="rId15" Type="http://schemas.openxmlformats.org/officeDocument/2006/relationships/diagramLayout" Target="diagrams/layout2.xml"/><Relationship Id="rId36" Type="http://schemas.openxmlformats.org/officeDocument/2006/relationships/diagramColors" Target="diagrams/colors4.xml"/><Relationship Id="rId57" Type="http://schemas.openxmlformats.org/officeDocument/2006/relationships/diagramLayout" Target="diagrams/layout8.xml"/><Relationship Id="rId106" Type="http://schemas.openxmlformats.org/officeDocument/2006/relationships/image" Target="media/image17.png"/><Relationship Id="rId127" Type="http://schemas.microsoft.com/office/2018/08/relationships/commentsExtensible" Target="commentsExtensible.xml"/><Relationship Id="rId10" Type="http://schemas.openxmlformats.org/officeDocument/2006/relationships/diagramLayout" Target="diagrams/layout1.xml"/><Relationship Id="rId31" Type="http://schemas.openxmlformats.org/officeDocument/2006/relationships/chart" Target="charts/chart7.xml"/><Relationship Id="rId52" Type="http://schemas.openxmlformats.org/officeDocument/2006/relationships/diagramColors" Target="diagrams/colors7.xml"/><Relationship Id="rId73" Type="http://schemas.openxmlformats.org/officeDocument/2006/relationships/image" Target="media/image8.png"/><Relationship Id="rId78" Type="http://schemas.microsoft.com/office/2007/relationships/diagramDrawing" Target="diagrams/drawing10.xml"/><Relationship Id="rId94" Type="http://schemas.openxmlformats.org/officeDocument/2006/relationships/hyperlink" Target="https://www.gov.uk/government/consultations/uk-national-data-strategy-nds-consultation/uk-national-data-strategy-consultation" TargetMode="External"/><Relationship Id="rId99" Type="http://schemas.openxmlformats.org/officeDocument/2006/relationships/diagramLayout" Target="diagrams/layout13.xml"/><Relationship Id="rId101" Type="http://schemas.openxmlformats.org/officeDocument/2006/relationships/diagramColors" Target="diagrams/colors13.xml"/><Relationship Id="rId1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M:\BODC_DOC\Data_Projects\MEDIN\Annual%20Reports\AnnualReport_2021\MEDIN_Annual_Report_2021_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nercnlfsa.ad.nerc.ac.uk\shared\BODC_DOC\Data_Projects\MEDIN\WS2_stds\Data_guidelines\Usage%20statistics\Downloads2020-2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nercnlfsa.ad.nerc.ac.uk\shared\BODC_DOC\Data_Projects\MEDIN\WS2_stds\Data_guidelines\Usage%20statistics\Downloads2020-2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nercnlfsa.ad.nerc.ac.uk\shared\BODC_DOC\Data_Projects\MEDIN\WS3_portal\portal\portal%20statistics\googleanalytics%2020150101-20193008%20and%20aw%20stats%20explanation.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nercnlfsa.ad.nerc.ac.uk\shared\BODC_DOC\Data_Projects\UKDMOS\UKDMOS%20web%20statistics\ukdmos%20web%20metrics%202016onwards.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nercacuk-my.sharepoint.com/personal/robm_noc_ac_uk/Documents/MEDIN/DAC%20metrics%20compiled.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73147999357224"/>
          <c:y val="6.3492063492063489E-2"/>
          <c:w val="0.41331711087134515"/>
          <c:h val="0.78525229800820351"/>
        </c:manualLayout>
      </c:layout>
      <c:barChart>
        <c:barDir val="col"/>
        <c:grouping val="stacked"/>
        <c:varyColors val="0"/>
        <c:ser>
          <c:idx val="0"/>
          <c:order val="0"/>
          <c:tx>
            <c:strRef>
              <c:f>Sheet1!$B$1</c:f>
              <c:strCache>
                <c:ptCount val="1"/>
                <c:pt idx="0">
                  <c:v>Government Departments/ agencies</c:v>
                </c:pt>
              </c:strCache>
            </c:strRef>
          </c:tx>
          <c:spPr>
            <a:solidFill>
              <a:schemeClr val="accent1"/>
            </a:solidFill>
            <a:ln>
              <a:noFill/>
            </a:ln>
            <a:effectLst/>
          </c:spPr>
          <c:invertIfNegative val="0"/>
          <c:dPt>
            <c:idx val="0"/>
            <c:invertIfNegative val="0"/>
            <c:bubble3D val="0"/>
            <c:spPr>
              <a:pattFill prst="narHorz">
                <a:fgClr>
                  <a:schemeClr val="accent1"/>
                </a:fgClr>
                <a:bgClr>
                  <a:schemeClr val="bg1"/>
                </a:bgClr>
              </a:pattFill>
              <a:ln>
                <a:noFill/>
              </a:ln>
              <a:effectLst/>
            </c:spPr>
            <c:extLst>
              <c:ext xmlns:c16="http://schemas.microsoft.com/office/drawing/2014/chart" uri="{C3380CC4-5D6E-409C-BE32-E72D297353CC}">
                <c16:uniqueId val="{00000001-6D33-4E69-B37D-5EE7922D00F6}"/>
              </c:ext>
            </c:extLst>
          </c:dPt>
          <c:cat>
            <c:strRef>
              <c:f>Sheet1!$A$2:$A$3</c:f>
              <c:strCache>
                <c:ptCount val="2"/>
                <c:pt idx="0">
                  <c:v>2019-20</c:v>
                </c:pt>
                <c:pt idx="1">
                  <c:v>2020-21</c:v>
                </c:pt>
              </c:strCache>
            </c:strRef>
          </c:cat>
          <c:val>
            <c:numRef>
              <c:f>Sheet1!$B$2:$B$3</c:f>
              <c:numCache>
                <c:formatCode>General</c:formatCode>
                <c:ptCount val="2"/>
                <c:pt idx="0">
                  <c:v>25</c:v>
                </c:pt>
                <c:pt idx="1">
                  <c:v>24</c:v>
                </c:pt>
              </c:numCache>
            </c:numRef>
          </c:val>
          <c:extLst>
            <c:ext xmlns:c16="http://schemas.microsoft.com/office/drawing/2014/chart" uri="{C3380CC4-5D6E-409C-BE32-E72D297353CC}">
              <c16:uniqueId val="{00000002-6D33-4E69-B37D-5EE7922D00F6}"/>
            </c:ext>
          </c:extLst>
        </c:ser>
        <c:ser>
          <c:idx val="1"/>
          <c:order val="1"/>
          <c:tx>
            <c:strRef>
              <c:f>Sheet1!$C$1</c:f>
              <c:strCache>
                <c:ptCount val="1"/>
                <c:pt idx="0">
                  <c:v>Commercial organisations</c:v>
                </c:pt>
              </c:strCache>
            </c:strRef>
          </c:tx>
          <c:spPr>
            <a:solidFill>
              <a:srgbClr val="FF9900"/>
            </a:solidFill>
            <a:ln>
              <a:noFill/>
            </a:ln>
            <a:effectLst/>
          </c:spPr>
          <c:invertIfNegative val="0"/>
          <c:dPt>
            <c:idx val="0"/>
            <c:invertIfNegative val="0"/>
            <c:bubble3D val="0"/>
            <c:spPr>
              <a:pattFill prst="ltHorz">
                <a:fgClr>
                  <a:srgbClr val="FF9900"/>
                </a:fgClr>
                <a:bgClr>
                  <a:schemeClr val="bg1"/>
                </a:bgClr>
              </a:pattFill>
              <a:ln>
                <a:noFill/>
              </a:ln>
              <a:effectLst/>
            </c:spPr>
            <c:extLst>
              <c:ext xmlns:c16="http://schemas.microsoft.com/office/drawing/2014/chart" uri="{C3380CC4-5D6E-409C-BE32-E72D297353CC}">
                <c16:uniqueId val="{00000004-6D33-4E69-B37D-5EE7922D00F6}"/>
              </c:ext>
            </c:extLst>
          </c:dPt>
          <c:cat>
            <c:strRef>
              <c:f>Sheet1!$A$2:$A$3</c:f>
              <c:strCache>
                <c:ptCount val="2"/>
                <c:pt idx="0">
                  <c:v>2019-20</c:v>
                </c:pt>
                <c:pt idx="1">
                  <c:v>2020-21</c:v>
                </c:pt>
              </c:strCache>
            </c:strRef>
          </c:cat>
          <c:val>
            <c:numRef>
              <c:f>Sheet1!$C$2:$C$3</c:f>
              <c:numCache>
                <c:formatCode>General</c:formatCode>
                <c:ptCount val="2"/>
                <c:pt idx="0">
                  <c:v>19</c:v>
                </c:pt>
                <c:pt idx="1">
                  <c:v>20</c:v>
                </c:pt>
              </c:numCache>
            </c:numRef>
          </c:val>
          <c:extLst>
            <c:ext xmlns:c16="http://schemas.microsoft.com/office/drawing/2014/chart" uri="{C3380CC4-5D6E-409C-BE32-E72D297353CC}">
              <c16:uniqueId val="{00000005-6D33-4E69-B37D-5EE7922D00F6}"/>
            </c:ext>
          </c:extLst>
        </c:ser>
        <c:ser>
          <c:idx val="2"/>
          <c:order val="2"/>
          <c:tx>
            <c:strRef>
              <c:f>Sheet1!$D$1</c:f>
              <c:strCache>
                <c:ptCount val="1"/>
                <c:pt idx="0">
                  <c:v>Academia</c:v>
                </c:pt>
              </c:strCache>
            </c:strRef>
          </c:tx>
          <c:spPr>
            <a:pattFill prst="narHorz">
              <a:fgClr>
                <a:schemeClr val="accent2"/>
              </a:fgClr>
              <a:bgClr>
                <a:schemeClr val="bg1"/>
              </a:bgClr>
            </a:pattFill>
            <a:ln>
              <a:noFill/>
            </a:ln>
            <a:effectLst/>
          </c:spPr>
          <c:invertIfNegative val="0"/>
          <c:dPt>
            <c:idx val="0"/>
            <c:invertIfNegative val="0"/>
            <c:bubble3D val="0"/>
            <c:spPr>
              <a:pattFill prst="narHorz">
                <a:fgClr>
                  <a:schemeClr val="accent3"/>
                </a:fgClr>
                <a:bgClr>
                  <a:schemeClr val="bg1"/>
                </a:bgClr>
              </a:pattFill>
              <a:ln>
                <a:noFill/>
              </a:ln>
              <a:effectLst/>
            </c:spPr>
            <c:extLst>
              <c:ext xmlns:c16="http://schemas.microsoft.com/office/drawing/2014/chart" uri="{C3380CC4-5D6E-409C-BE32-E72D297353CC}">
                <c16:uniqueId val="{00000007-6D33-4E69-B37D-5EE7922D00F6}"/>
              </c:ext>
            </c:extLst>
          </c:dPt>
          <c:dPt>
            <c:idx val="1"/>
            <c:invertIfNegative val="0"/>
            <c:bubble3D val="0"/>
            <c:spPr>
              <a:solidFill>
                <a:schemeClr val="accent3"/>
              </a:solidFill>
              <a:ln>
                <a:noFill/>
              </a:ln>
              <a:effectLst/>
            </c:spPr>
            <c:extLst>
              <c:ext xmlns:c16="http://schemas.microsoft.com/office/drawing/2014/chart" uri="{C3380CC4-5D6E-409C-BE32-E72D297353CC}">
                <c16:uniqueId val="{00000009-6D33-4E69-B37D-5EE7922D00F6}"/>
              </c:ext>
            </c:extLst>
          </c:dPt>
          <c:cat>
            <c:strRef>
              <c:f>Sheet1!$A$2:$A$3</c:f>
              <c:strCache>
                <c:ptCount val="2"/>
                <c:pt idx="0">
                  <c:v>2019-20</c:v>
                </c:pt>
                <c:pt idx="1">
                  <c:v>2020-21</c:v>
                </c:pt>
              </c:strCache>
            </c:strRef>
          </c:cat>
          <c:val>
            <c:numRef>
              <c:f>Sheet1!$D$2:$D$3</c:f>
              <c:numCache>
                <c:formatCode>General</c:formatCode>
                <c:ptCount val="2"/>
                <c:pt idx="0">
                  <c:v>7</c:v>
                </c:pt>
                <c:pt idx="1">
                  <c:v>9</c:v>
                </c:pt>
              </c:numCache>
            </c:numRef>
          </c:val>
          <c:extLst>
            <c:ext xmlns:c16="http://schemas.microsoft.com/office/drawing/2014/chart" uri="{C3380CC4-5D6E-409C-BE32-E72D297353CC}">
              <c16:uniqueId val="{0000000A-6D33-4E69-B37D-5EE7922D00F6}"/>
            </c:ext>
          </c:extLst>
        </c:ser>
        <c:ser>
          <c:idx val="3"/>
          <c:order val="3"/>
          <c:tx>
            <c:strRef>
              <c:f>Sheet1!$E$1</c:f>
              <c:strCache>
                <c:ptCount val="1"/>
                <c:pt idx="0">
                  <c:v>Charities and NGOs</c:v>
                </c:pt>
              </c:strCache>
            </c:strRef>
          </c:tx>
          <c:spPr>
            <a:solidFill>
              <a:srgbClr val="2C02DE"/>
            </a:solidFill>
            <a:ln>
              <a:noFill/>
            </a:ln>
            <a:effectLst/>
          </c:spPr>
          <c:invertIfNegative val="0"/>
          <c:dPt>
            <c:idx val="0"/>
            <c:invertIfNegative val="0"/>
            <c:bubble3D val="0"/>
            <c:spPr>
              <a:pattFill prst="ltHorz">
                <a:fgClr>
                  <a:srgbClr val="2C02DE"/>
                </a:fgClr>
                <a:bgClr>
                  <a:schemeClr val="bg1"/>
                </a:bgClr>
              </a:pattFill>
              <a:ln>
                <a:noFill/>
              </a:ln>
              <a:effectLst/>
            </c:spPr>
            <c:extLst>
              <c:ext xmlns:c16="http://schemas.microsoft.com/office/drawing/2014/chart" uri="{C3380CC4-5D6E-409C-BE32-E72D297353CC}">
                <c16:uniqueId val="{0000000C-6D33-4E69-B37D-5EE7922D00F6}"/>
              </c:ext>
            </c:extLst>
          </c:dPt>
          <c:cat>
            <c:strRef>
              <c:f>Sheet1!$A$2:$A$3</c:f>
              <c:strCache>
                <c:ptCount val="2"/>
                <c:pt idx="0">
                  <c:v>2019-20</c:v>
                </c:pt>
                <c:pt idx="1">
                  <c:v>2020-21</c:v>
                </c:pt>
              </c:strCache>
            </c:strRef>
          </c:cat>
          <c:val>
            <c:numRef>
              <c:f>Sheet1!$E$2:$E$3</c:f>
              <c:numCache>
                <c:formatCode>General</c:formatCode>
                <c:ptCount val="2"/>
                <c:pt idx="0">
                  <c:v>6</c:v>
                </c:pt>
                <c:pt idx="1">
                  <c:v>6</c:v>
                </c:pt>
              </c:numCache>
            </c:numRef>
          </c:val>
          <c:extLst>
            <c:ext xmlns:c16="http://schemas.microsoft.com/office/drawing/2014/chart" uri="{C3380CC4-5D6E-409C-BE32-E72D297353CC}">
              <c16:uniqueId val="{0000000D-6D33-4E69-B37D-5EE7922D00F6}"/>
            </c:ext>
          </c:extLst>
        </c:ser>
        <c:dLbls>
          <c:showLegendKey val="0"/>
          <c:showVal val="0"/>
          <c:showCatName val="0"/>
          <c:showSerName val="0"/>
          <c:showPercent val="0"/>
          <c:showBubbleSize val="0"/>
        </c:dLbls>
        <c:gapWidth val="219"/>
        <c:overlap val="100"/>
        <c:axId val="1546624527"/>
        <c:axId val="1483446847"/>
      </c:barChart>
      <c:catAx>
        <c:axId val="1546624527"/>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2020               2021</a:t>
                </a:r>
              </a:p>
            </c:rich>
          </c:tx>
          <c:layout>
            <c:manualLayout>
              <c:xMode val="edge"/>
              <c:yMode val="edge"/>
              <c:x val="0.19109975288176698"/>
              <c:y val="0.8686449641556001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483446847"/>
        <c:crosses val="autoZero"/>
        <c:auto val="1"/>
        <c:lblAlgn val="ctr"/>
        <c:lblOffset val="100"/>
        <c:noMultiLvlLbl val="0"/>
      </c:catAx>
      <c:valAx>
        <c:axId val="1483446847"/>
        <c:scaling>
          <c:orientation val="minMax"/>
          <c:max val="6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partners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6624527"/>
        <c:crosses val="autoZero"/>
        <c:crossBetween val="between"/>
      </c:valAx>
      <c:spPr>
        <a:noFill/>
        <a:ln>
          <a:noFill/>
        </a:ln>
        <a:effectLst/>
      </c:spPr>
    </c:plotArea>
    <c:legend>
      <c:legendPos val="r"/>
      <c:layout>
        <c:manualLayout>
          <c:xMode val="edge"/>
          <c:yMode val="edge"/>
          <c:x val="0.63157894736842102"/>
          <c:y val="3.0130764904386941E-2"/>
          <c:w val="0.34502923976608185"/>
          <c:h val="0.969869235095612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988601424821899"/>
          <c:y val="2.3848238482384824E-2"/>
          <c:w val="0.58922221086000615"/>
          <c:h val="0.8349761645647954"/>
        </c:manualLayout>
      </c:layout>
      <c:barChart>
        <c:barDir val="bar"/>
        <c:grouping val="clustered"/>
        <c:varyColors val="0"/>
        <c:ser>
          <c:idx val="0"/>
          <c:order val="0"/>
          <c:tx>
            <c:v>2020-21</c:v>
          </c:tx>
          <c:spPr>
            <a:solidFill>
              <a:srgbClr val="0070C0"/>
            </a:solidFill>
            <a:ln>
              <a:noFill/>
            </a:ln>
            <a:effectLst/>
          </c:spPr>
          <c:invertIfNegative val="0"/>
          <c:cat>
            <c:strRef>
              <c:f>'downloads per guideline'!$A$2:$A$27</c:f>
              <c:strCache>
                <c:ptCount val="26"/>
                <c:pt idx="0">
                  <c:v>Cetacean Sighting ID</c:v>
                </c:pt>
                <c:pt idx="1">
                  <c:v>Shellfish Stock</c:v>
                </c:pt>
                <c:pt idx="2">
                  <c:v>Static Net, Pot and Trap</c:v>
                </c:pt>
                <c:pt idx="3">
                  <c:v>MMO Recreation</c:v>
                </c:pt>
                <c:pt idx="4">
                  <c:v>Gravimetry</c:v>
                </c:pt>
                <c:pt idx="5">
                  <c:v>Offshore Litter</c:v>
                </c:pt>
                <c:pt idx="6">
                  <c:v>AIS</c:v>
                </c:pt>
                <c:pt idx="7">
                  <c:v>Sediment Characteristics</c:v>
                </c:pt>
                <c:pt idx="8">
                  <c:v>Meteorological data from fixed platforms</c:v>
                </c:pt>
                <c:pt idx="9">
                  <c:v>Seismic</c:v>
                </c:pt>
                <c:pt idx="10">
                  <c:v>Magnetometer</c:v>
                </c:pt>
                <c:pt idx="11">
                  <c:v>Geotechnical Investigation</c:v>
                </c:pt>
                <c:pt idx="12">
                  <c:v>Underwater Noise</c:v>
                </c:pt>
                <c:pt idx="13">
                  <c:v>Trawl and Dredge</c:v>
                </c:pt>
                <c:pt idx="14">
                  <c:v>Water Sample</c:v>
                </c:pt>
                <c:pt idx="15">
                  <c:v>ADCP</c:v>
                </c:pt>
                <c:pt idx="16">
                  <c:v>Underway</c:v>
                </c:pt>
                <c:pt idx="17">
                  <c:v>Moored Instrument</c:v>
                </c:pt>
                <c:pt idx="18">
                  <c:v>Vertical Profile</c:v>
                </c:pt>
                <c:pt idx="19">
                  <c:v>Ad-hoc Sightings</c:v>
                </c:pt>
                <c:pt idx="20">
                  <c:v>Grab/Core</c:v>
                </c:pt>
                <c:pt idx="21">
                  <c:v>Side Scan Sonar</c:v>
                </c:pt>
                <c:pt idx="22">
                  <c:v>Tide</c:v>
                </c:pt>
                <c:pt idx="23">
                  <c:v>Video</c:v>
                </c:pt>
                <c:pt idx="24">
                  <c:v>Image</c:v>
                </c:pt>
                <c:pt idx="25">
                  <c:v>Bathymetry</c:v>
                </c:pt>
              </c:strCache>
            </c:strRef>
          </c:cat>
          <c:val>
            <c:numRef>
              <c:f>'downloads per guideline'!$B$2:$B$27</c:f>
              <c:numCache>
                <c:formatCode>General</c:formatCode>
                <c:ptCount val="26"/>
                <c:pt idx="0">
                  <c:v>0</c:v>
                </c:pt>
                <c:pt idx="1">
                  <c:v>0</c:v>
                </c:pt>
                <c:pt idx="2">
                  <c:v>0</c:v>
                </c:pt>
                <c:pt idx="3">
                  <c:v>6</c:v>
                </c:pt>
                <c:pt idx="4">
                  <c:v>6</c:v>
                </c:pt>
                <c:pt idx="5">
                  <c:v>7</c:v>
                </c:pt>
                <c:pt idx="6">
                  <c:v>7</c:v>
                </c:pt>
                <c:pt idx="7">
                  <c:v>10</c:v>
                </c:pt>
                <c:pt idx="8">
                  <c:v>12</c:v>
                </c:pt>
                <c:pt idx="9">
                  <c:v>14</c:v>
                </c:pt>
                <c:pt idx="10">
                  <c:v>14</c:v>
                </c:pt>
                <c:pt idx="11">
                  <c:v>15</c:v>
                </c:pt>
                <c:pt idx="12">
                  <c:v>20</c:v>
                </c:pt>
                <c:pt idx="13">
                  <c:v>24</c:v>
                </c:pt>
                <c:pt idx="14">
                  <c:v>24</c:v>
                </c:pt>
                <c:pt idx="15">
                  <c:v>27</c:v>
                </c:pt>
                <c:pt idx="16">
                  <c:v>33</c:v>
                </c:pt>
                <c:pt idx="17">
                  <c:v>35</c:v>
                </c:pt>
                <c:pt idx="18">
                  <c:v>35</c:v>
                </c:pt>
                <c:pt idx="19">
                  <c:v>42</c:v>
                </c:pt>
                <c:pt idx="20">
                  <c:v>48</c:v>
                </c:pt>
                <c:pt idx="21">
                  <c:v>50</c:v>
                </c:pt>
                <c:pt idx="22">
                  <c:v>55</c:v>
                </c:pt>
                <c:pt idx="23">
                  <c:v>67</c:v>
                </c:pt>
                <c:pt idx="24">
                  <c:v>93</c:v>
                </c:pt>
                <c:pt idx="25">
                  <c:v>155</c:v>
                </c:pt>
              </c:numCache>
            </c:numRef>
          </c:val>
          <c:extLst>
            <c:ext xmlns:c16="http://schemas.microsoft.com/office/drawing/2014/chart" uri="{C3380CC4-5D6E-409C-BE32-E72D297353CC}">
              <c16:uniqueId val="{00000000-3921-4BB7-BAA4-9C71F6587F6C}"/>
            </c:ext>
          </c:extLst>
        </c:ser>
        <c:ser>
          <c:idx val="1"/>
          <c:order val="1"/>
          <c:tx>
            <c:v>2019-20</c:v>
          </c:tx>
          <c:spPr>
            <a:solidFill>
              <a:srgbClr val="FF9900"/>
            </a:solidFill>
            <a:ln>
              <a:noFill/>
            </a:ln>
            <a:effectLst/>
          </c:spPr>
          <c:invertIfNegative val="0"/>
          <c:val>
            <c:numRef>
              <c:f>'downloads per guideline'!$C$35:$C$60</c:f>
              <c:numCache>
                <c:formatCode>General</c:formatCode>
                <c:ptCount val="26"/>
                <c:pt idx="0">
                  <c:v>18</c:v>
                </c:pt>
                <c:pt idx="1">
                  <c:v>16</c:v>
                </c:pt>
                <c:pt idx="2">
                  <c:v>15</c:v>
                </c:pt>
                <c:pt idx="3">
                  <c:v>16</c:v>
                </c:pt>
                <c:pt idx="4">
                  <c:v>5</c:v>
                </c:pt>
                <c:pt idx="5">
                  <c:v>12</c:v>
                </c:pt>
                <c:pt idx="6">
                  <c:v>8</c:v>
                </c:pt>
                <c:pt idx="7">
                  <c:v>12</c:v>
                </c:pt>
                <c:pt idx="8">
                  <c:v>19</c:v>
                </c:pt>
                <c:pt idx="9">
                  <c:v>17</c:v>
                </c:pt>
                <c:pt idx="10">
                  <c:v>22</c:v>
                </c:pt>
                <c:pt idx="11">
                  <c:v>26</c:v>
                </c:pt>
                <c:pt idx="12">
                  <c:v>23</c:v>
                </c:pt>
                <c:pt idx="13">
                  <c:v>31</c:v>
                </c:pt>
                <c:pt idx="14">
                  <c:v>36</c:v>
                </c:pt>
                <c:pt idx="15">
                  <c:v>25</c:v>
                </c:pt>
                <c:pt idx="16">
                  <c:v>18</c:v>
                </c:pt>
                <c:pt idx="17">
                  <c:v>35</c:v>
                </c:pt>
                <c:pt idx="18">
                  <c:v>32</c:v>
                </c:pt>
                <c:pt idx="19">
                  <c:v>69</c:v>
                </c:pt>
                <c:pt idx="20">
                  <c:v>263</c:v>
                </c:pt>
                <c:pt idx="21">
                  <c:v>64</c:v>
                </c:pt>
                <c:pt idx="22">
                  <c:v>37</c:v>
                </c:pt>
                <c:pt idx="23">
                  <c:v>94</c:v>
                </c:pt>
                <c:pt idx="24">
                  <c:v>84</c:v>
                </c:pt>
                <c:pt idx="25">
                  <c:v>162</c:v>
                </c:pt>
              </c:numCache>
            </c:numRef>
          </c:val>
          <c:extLst>
            <c:ext xmlns:c16="http://schemas.microsoft.com/office/drawing/2014/chart" uri="{C3380CC4-5D6E-409C-BE32-E72D297353CC}">
              <c16:uniqueId val="{00000001-3921-4BB7-BAA4-9C71F6587F6C}"/>
            </c:ext>
          </c:extLst>
        </c:ser>
        <c:dLbls>
          <c:showLegendKey val="0"/>
          <c:showVal val="0"/>
          <c:showCatName val="0"/>
          <c:showSerName val="0"/>
          <c:showPercent val="0"/>
          <c:showBubbleSize val="0"/>
        </c:dLbls>
        <c:gapWidth val="110"/>
        <c:axId val="2048127808"/>
        <c:axId val="70940208"/>
      </c:barChart>
      <c:catAx>
        <c:axId val="2048127808"/>
        <c:scaling>
          <c:orientation val="minMax"/>
        </c:scaling>
        <c:delete val="0"/>
        <c:axPos val="l"/>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0940208"/>
        <c:crosses val="autoZero"/>
        <c:auto val="1"/>
        <c:lblAlgn val="ctr"/>
        <c:lblOffset val="100"/>
        <c:noMultiLvlLbl val="0"/>
      </c:catAx>
      <c:valAx>
        <c:axId val="709402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downloads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048127808"/>
        <c:crosses val="autoZero"/>
        <c:crossBetween val="between"/>
      </c:valAx>
      <c:spPr>
        <a:noFill/>
        <a:ln>
          <a:noFill/>
        </a:ln>
        <a:effectLst/>
      </c:spPr>
    </c:plotArea>
    <c:legend>
      <c:legendPos val="b"/>
      <c:layout>
        <c:manualLayout>
          <c:xMode val="edge"/>
          <c:yMode val="edge"/>
          <c:x val="0.3232289297171187"/>
          <c:y val="0.95544523271224757"/>
          <c:w val="0.36889060337198482"/>
          <c:h val="4.4554767287752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28108617790069"/>
          <c:y val="1.5256999125109361E-2"/>
          <c:w val="0.7797380957407134"/>
          <c:h val="0.7545998054591001"/>
        </c:manualLayout>
      </c:layout>
      <c:lineChart>
        <c:grouping val="standard"/>
        <c:varyColors val="0"/>
        <c:ser>
          <c:idx val="0"/>
          <c:order val="0"/>
          <c:tx>
            <c:strRef>
              <c:f>'cumulative comparison'!$A$3</c:f>
              <c:strCache>
                <c:ptCount val="1"/>
                <c:pt idx="0">
                  <c:v>guideline 2019-20</c:v>
                </c:pt>
              </c:strCache>
            </c:strRef>
          </c:tx>
          <c:spPr>
            <a:ln w="28575" cap="rnd">
              <a:solidFill>
                <a:schemeClr val="accent1">
                  <a:lumMod val="40000"/>
                  <a:lumOff val="60000"/>
                </a:schemeClr>
              </a:solidFill>
              <a:prstDash val="sysDash"/>
              <a:round/>
            </a:ln>
            <a:effectLst/>
          </c:spPr>
          <c:marker>
            <c:symbol val="none"/>
          </c:marker>
          <c:cat>
            <c:strRef>
              <c:f>'cumulative comparison'!$B$2:$M$2</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'cumulative comparison'!$B$3:$M$3</c:f>
              <c:numCache>
                <c:formatCode>0</c:formatCode>
                <c:ptCount val="12"/>
                <c:pt idx="0">
                  <c:v>102</c:v>
                </c:pt>
                <c:pt idx="1">
                  <c:v>233</c:v>
                </c:pt>
                <c:pt idx="2">
                  <c:v>319</c:v>
                </c:pt>
                <c:pt idx="3">
                  <c:v>409</c:v>
                </c:pt>
                <c:pt idx="4">
                  <c:v>499</c:v>
                </c:pt>
                <c:pt idx="5">
                  <c:v>594</c:v>
                </c:pt>
                <c:pt idx="6">
                  <c:v>708</c:v>
                </c:pt>
                <c:pt idx="7">
                  <c:v>811</c:v>
                </c:pt>
                <c:pt idx="8">
                  <c:v>865</c:v>
                </c:pt>
                <c:pt idx="9">
                  <c:v>1047</c:v>
                </c:pt>
                <c:pt idx="10">
                  <c:v>1171</c:v>
                </c:pt>
                <c:pt idx="11">
                  <c:v>1214</c:v>
                </c:pt>
              </c:numCache>
            </c:numRef>
          </c:val>
          <c:smooth val="0"/>
          <c:extLst>
            <c:ext xmlns:c16="http://schemas.microsoft.com/office/drawing/2014/chart" uri="{C3380CC4-5D6E-409C-BE32-E72D297353CC}">
              <c16:uniqueId val="{00000000-E37D-4898-BF22-94311B66ED15}"/>
            </c:ext>
          </c:extLst>
        </c:ser>
        <c:ser>
          <c:idx val="1"/>
          <c:order val="1"/>
          <c:tx>
            <c:strRef>
              <c:f>'cumulative comparison'!$A$4</c:f>
              <c:strCache>
                <c:ptCount val="1"/>
                <c:pt idx="0">
                  <c:v>guideline 2020-21</c:v>
                </c:pt>
              </c:strCache>
            </c:strRef>
          </c:tx>
          <c:spPr>
            <a:ln w="28575" cap="rnd">
              <a:solidFill>
                <a:srgbClr val="0070C0"/>
              </a:solidFill>
              <a:round/>
            </a:ln>
            <a:effectLst/>
          </c:spPr>
          <c:marker>
            <c:symbol val="none"/>
          </c:marker>
          <c:cat>
            <c:strRef>
              <c:f>'cumulative comparison'!$B$2:$M$2</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'cumulative comparison'!$B$4:$M$4</c:f>
              <c:numCache>
                <c:formatCode>General</c:formatCode>
                <c:ptCount val="12"/>
                <c:pt idx="0">
                  <c:v>135</c:v>
                </c:pt>
                <c:pt idx="1">
                  <c:v>185</c:v>
                </c:pt>
                <c:pt idx="2">
                  <c:v>276</c:v>
                </c:pt>
                <c:pt idx="3">
                  <c:v>373</c:v>
                </c:pt>
                <c:pt idx="4">
                  <c:v>442</c:v>
                </c:pt>
                <c:pt idx="5">
                  <c:v>476</c:v>
                </c:pt>
                <c:pt idx="6">
                  <c:v>573</c:v>
                </c:pt>
                <c:pt idx="7">
                  <c:v>615</c:v>
                </c:pt>
                <c:pt idx="8">
                  <c:v>644</c:v>
                </c:pt>
                <c:pt idx="9">
                  <c:v>682</c:v>
                </c:pt>
                <c:pt idx="10">
                  <c:v>751</c:v>
                </c:pt>
                <c:pt idx="11">
                  <c:v>799</c:v>
                </c:pt>
              </c:numCache>
            </c:numRef>
          </c:val>
          <c:smooth val="0"/>
          <c:extLst>
            <c:ext xmlns:c16="http://schemas.microsoft.com/office/drawing/2014/chart" uri="{C3380CC4-5D6E-409C-BE32-E72D297353CC}">
              <c16:uniqueId val="{00000001-E37D-4898-BF22-94311B66ED15}"/>
            </c:ext>
          </c:extLst>
        </c:ser>
        <c:dLbls>
          <c:showLegendKey val="0"/>
          <c:showVal val="0"/>
          <c:showCatName val="0"/>
          <c:showSerName val="0"/>
          <c:showPercent val="0"/>
          <c:showBubbleSize val="0"/>
        </c:dLbls>
        <c:marker val="1"/>
        <c:smooth val="0"/>
        <c:axId val="2048138608"/>
        <c:axId val="1904207984"/>
      </c:lineChart>
      <c:lineChart>
        <c:grouping val="standard"/>
        <c:varyColors val="0"/>
        <c:ser>
          <c:idx val="2"/>
          <c:order val="2"/>
          <c:tx>
            <c:strRef>
              <c:f>'cumulative comparison'!$A$5</c:f>
              <c:strCache>
                <c:ptCount val="1"/>
                <c:pt idx="0">
                  <c:v>standard 2019-20</c:v>
                </c:pt>
              </c:strCache>
            </c:strRef>
          </c:tx>
          <c:spPr>
            <a:ln w="28575" cap="rnd">
              <a:solidFill>
                <a:srgbClr val="FF9900"/>
              </a:solidFill>
              <a:prstDash val="sysDash"/>
              <a:round/>
            </a:ln>
            <a:effectLst/>
          </c:spPr>
          <c:marker>
            <c:symbol val="none"/>
          </c:marker>
          <c:cat>
            <c:strRef>
              <c:f>'cumulative comparison'!$B$2:$M$2</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'cumulative comparison'!$B$5:$M$5</c:f>
              <c:numCache>
                <c:formatCode>0</c:formatCode>
                <c:ptCount val="12"/>
                <c:pt idx="0">
                  <c:v>53</c:v>
                </c:pt>
                <c:pt idx="1">
                  <c:v>92</c:v>
                </c:pt>
                <c:pt idx="2">
                  <c:v>120</c:v>
                </c:pt>
                <c:pt idx="3">
                  <c:v>173</c:v>
                </c:pt>
                <c:pt idx="4">
                  <c:v>259</c:v>
                </c:pt>
                <c:pt idx="5">
                  <c:v>345</c:v>
                </c:pt>
                <c:pt idx="6">
                  <c:v>383</c:v>
                </c:pt>
                <c:pt idx="7">
                  <c:v>420</c:v>
                </c:pt>
                <c:pt idx="8">
                  <c:v>461</c:v>
                </c:pt>
                <c:pt idx="9">
                  <c:v>516</c:v>
                </c:pt>
                <c:pt idx="10">
                  <c:v>573</c:v>
                </c:pt>
                <c:pt idx="11">
                  <c:v>618</c:v>
                </c:pt>
              </c:numCache>
            </c:numRef>
          </c:val>
          <c:smooth val="0"/>
          <c:extLst>
            <c:ext xmlns:c16="http://schemas.microsoft.com/office/drawing/2014/chart" uri="{C3380CC4-5D6E-409C-BE32-E72D297353CC}">
              <c16:uniqueId val="{00000002-E37D-4898-BF22-94311B66ED15}"/>
            </c:ext>
          </c:extLst>
        </c:ser>
        <c:ser>
          <c:idx val="3"/>
          <c:order val="3"/>
          <c:tx>
            <c:strRef>
              <c:f>'cumulative comparison'!$A$6</c:f>
              <c:strCache>
                <c:ptCount val="1"/>
                <c:pt idx="0">
                  <c:v>standard 2020-21</c:v>
                </c:pt>
              </c:strCache>
            </c:strRef>
          </c:tx>
          <c:spPr>
            <a:ln w="28575" cap="rnd">
              <a:solidFill>
                <a:srgbClr val="FF9900"/>
              </a:solidFill>
              <a:round/>
            </a:ln>
            <a:effectLst/>
          </c:spPr>
          <c:marker>
            <c:symbol val="none"/>
          </c:marker>
          <c:cat>
            <c:strRef>
              <c:f>'cumulative comparison'!$B$2:$M$2</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'cumulative comparison'!$B$6:$M$6</c:f>
              <c:numCache>
                <c:formatCode>General</c:formatCode>
                <c:ptCount val="12"/>
                <c:pt idx="0">
                  <c:v>46</c:v>
                </c:pt>
                <c:pt idx="1">
                  <c:v>111</c:v>
                </c:pt>
                <c:pt idx="2">
                  <c:v>187</c:v>
                </c:pt>
                <c:pt idx="3">
                  <c:v>272</c:v>
                </c:pt>
                <c:pt idx="4">
                  <c:v>301</c:v>
                </c:pt>
                <c:pt idx="5">
                  <c:v>349</c:v>
                </c:pt>
                <c:pt idx="6">
                  <c:v>377</c:v>
                </c:pt>
                <c:pt idx="7">
                  <c:v>408</c:v>
                </c:pt>
                <c:pt idx="8">
                  <c:v>424</c:v>
                </c:pt>
                <c:pt idx="9">
                  <c:v>458</c:v>
                </c:pt>
                <c:pt idx="10">
                  <c:v>491</c:v>
                </c:pt>
                <c:pt idx="11">
                  <c:v>491</c:v>
                </c:pt>
              </c:numCache>
            </c:numRef>
          </c:val>
          <c:smooth val="0"/>
          <c:extLst>
            <c:ext xmlns:c16="http://schemas.microsoft.com/office/drawing/2014/chart" uri="{C3380CC4-5D6E-409C-BE32-E72D297353CC}">
              <c16:uniqueId val="{00000003-E37D-4898-BF22-94311B66ED15}"/>
            </c:ext>
          </c:extLst>
        </c:ser>
        <c:dLbls>
          <c:showLegendKey val="0"/>
          <c:showVal val="0"/>
          <c:showCatName val="0"/>
          <c:showSerName val="0"/>
          <c:showPercent val="0"/>
          <c:showBubbleSize val="0"/>
        </c:dLbls>
        <c:marker val="1"/>
        <c:smooth val="0"/>
        <c:axId val="1098963807"/>
        <c:axId val="1094533695"/>
      </c:lineChart>
      <c:catAx>
        <c:axId val="20481386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4207984"/>
        <c:crosses val="autoZero"/>
        <c:auto val="1"/>
        <c:lblAlgn val="ctr"/>
        <c:lblOffset val="100"/>
        <c:noMultiLvlLbl val="1"/>
      </c:catAx>
      <c:valAx>
        <c:axId val="1904207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accent1"/>
                </a:solidFill>
                <a:latin typeface="+mn-lt"/>
                <a:ea typeface="+mn-ea"/>
                <a:cs typeface="+mn-cs"/>
              </a:defRPr>
            </a:pPr>
            <a:endParaRPr lang="en-US"/>
          </a:p>
        </c:txPr>
        <c:crossAx val="2048138608"/>
        <c:crosses val="autoZero"/>
        <c:crossBetween val="between"/>
      </c:valAx>
      <c:valAx>
        <c:axId val="1094533695"/>
        <c:scaling>
          <c:orientation val="minMax"/>
        </c:scaling>
        <c:delete val="0"/>
        <c:axPos val="r"/>
        <c:numFmt formatCode="0" sourceLinked="1"/>
        <c:majorTickMark val="out"/>
        <c:minorTickMark val="none"/>
        <c:tickLblPos val="nextTo"/>
        <c:spPr>
          <a:noFill/>
          <a:ln>
            <a:solidFill>
              <a:srgbClr val="FF9900"/>
            </a:solidFill>
          </a:ln>
          <a:effectLst/>
        </c:spPr>
        <c:txPr>
          <a:bodyPr rot="-60000000" spcFirstLastPara="1" vertOverflow="ellipsis" vert="horz" wrap="square" anchor="ctr" anchorCtr="1"/>
          <a:lstStyle/>
          <a:p>
            <a:pPr>
              <a:defRPr sz="900" b="0" i="0" u="none" strike="noStrike" kern="1200" baseline="0">
                <a:ln>
                  <a:noFill/>
                </a:ln>
                <a:solidFill>
                  <a:srgbClr val="FF9900"/>
                </a:solidFill>
                <a:latin typeface="+mn-lt"/>
                <a:ea typeface="+mn-ea"/>
                <a:cs typeface="+mn-cs"/>
              </a:defRPr>
            </a:pPr>
            <a:endParaRPr lang="en-US"/>
          </a:p>
        </c:txPr>
        <c:crossAx val="1098963807"/>
        <c:crosses val="max"/>
        <c:crossBetween val="between"/>
      </c:valAx>
      <c:catAx>
        <c:axId val="1098963807"/>
        <c:scaling>
          <c:orientation val="minMax"/>
        </c:scaling>
        <c:delete val="1"/>
        <c:axPos val="b"/>
        <c:numFmt formatCode="General" sourceLinked="1"/>
        <c:majorTickMark val="out"/>
        <c:minorTickMark val="none"/>
        <c:tickLblPos val="nextTo"/>
        <c:crossAx val="1094533695"/>
        <c:crosses val="autoZero"/>
        <c:auto val="1"/>
        <c:lblAlgn val="ctr"/>
        <c:lblOffset val="100"/>
        <c:noMultiLvlLbl val="1"/>
      </c:catAx>
      <c:spPr>
        <a:noFill/>
        <a:ln>
          <a:noFill/>
        </a:ln>
        <a:effectLst/>
      </c:spPr>
    </c:plotArea>
    <c:legend>
      <c:legendPos val="b"/>
      <c:layout>
        <c:manualLayout>
          <c:xMode val="edge"/>
          <c:yMode val="edge"/>
          <c:x val="6.6647808434133413E-2"/>
          <c:y val="0.89993033479510709"/>
          <c:w val="0.86670410166557599"/>
          <c:h val="8.902756720627312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2"/>
          <c:tx>
            <c:strRef>
              <c:f>pageviews!$F$38</c:f>
              <c:strCache>
                <c:ptCount val="1"/>
                <c:pt idx="0">
                  <c:v>Pages</c:v>
                </c:pt>
              </c:strCache>
            </c:strRef>
          </c:tx>
          <c:spPr>
            <a:ln w="28575" cap="rnd">
              <a:solidFill>
                <a:schemeClr val="accent1"/>
              </a:solidFill>
              <a:round/>
            </a:ln>
            <a:effectLst/>
          </c:spPr>
          <c:marker>
            <c:symbol val="none"/>
          </c:marker>
          <c:cat>
            <c:numRef>
              <c:f>pageviews!$A$39:$A$77</c:f>
              <c:numCache>
                <c:formatCode>mmm\-yy</c:formatCode>
                <c:ptCount val="39"/>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pt idx="27">
                  <c:v>43922</c:v>
                </c:pt>
                <c:pt idx="28">
                  <c:v>43952</c:v>
                </c:pt>
                <c:pt idx="29">
                  <c:v>43983</c:v>
                </c:pt>
                <c:pt idx="30">
                  <c:v>44013</c:v>
                </c:pt>
                <c:pt idx="31">
                  <c:v>44044</c:v>
                </c:pt>
                <c:pt idx="32">
                  <c:v>44075</c:v>
                </c:pt>
                <c:pt idx="33">
                  <c:v>44105</c:v>
                </c:pt>
                <c:pt idx="34">
                  <c:v>44136</c:v>
                </c:pt>
                <c:pt idx="35">
                  <c:v>44166</c:v>
                </c:pt>
                <c:pt idx="36">
                  <c:v>44197</c:v>
                </c:pt>
                <c:pt idx="37">
                  <c:v>44228</c:v>
                </c:pt>
                <c:pt idx="38">
                  <c:v>44256</c:v>
                </c:pt>
              </c:numCache>
            </c:numRef>
          </c:cat>
          <c:val>
            <c:numRef>
              <c:f>pageviews!$F$39:$F$77</c:f>
              <c:numCache>
                <c:formatCode>General</c:formatCode>
                <c:ptCount val="39"/>
                <c:pt idx="0">
                  <c:v>12634</c:v>
                </c:pt>
                <c:pt idx="1">
                  <c:v>9059</c:v>
                </c:pt>
                <c:pt idx="2">
                  <c:v>12849</c:v>
                </c:pt>
                <c:pt idx="3">
                  <c:v>13173</c:v>
                </c:pt>
                <c:pt idx="4">
                  <c:v>11511</c:v>
                </c:pt>
                <c:pt idx="5" formatCode="#,##0">
                  <c:v>14538</c:v>
                </c:pt>
                <c:pt idx="6" formatCode="#,##0">
                  <c:v>12104</c:v>
                </c:pt>
                <c:pt idx="7" formatCode="#,##0">
                  <c:v>8214</c:v>
                </c:pt>
                <c:pt idx="8" formatCode="#,##0">
                  <c:v>14240</c:v>
                </c:pt>
                <c:pt idx="9" formatCode="#,##0">
                  <c:v>17218</c:v>
                </c:pt>
                <c:pt idx="10" formatCode="#,##0">
                  <c:v>28990</c:v>
                </c:pt>
                <c:pt idx="11" formatCode="#,##0">
                  <c:v>32538</c:v>
                </c:pt>
                <c:pt idx="12" formatCode="#,##0">
                  <c:v>30763</c:v>
                </c:pt>
                <c:pt idx="13" formatCode="#,##0">
                  <c:v>19398</c:v>
                </c:pt>
                <c:pt idx="14" formatCode="#,##0">
                  <c:v>23133</c:v>
                </c:pt>
                <c:pt idx="15" formatCode="#,##0">
                  <c:v>17334</c:v>
                </c:pt>
                <c:pt idx="16" formatCode="#,##0">
                  <c:v>36706</c:v>
                </c:pt>
                <c:pt idx="17" formatCode="#,##0">
                  <c:v>19223</c:v>
                </c:pt>
                <c:pt idx="18" formatCode="#,##0">
                  <c:v>13381</c:v>
                </c:pt>
                <c:pt idx="19">
                  <c:v>12437</c:v>
                </c:pt>
                <c:pt idx="20" formatCode="#,##0">
                  <c:v>7430</c:v>
                </c:pt>
                <c:pt idx="21" formatCode="#,##0">
                  <c:v>17039</c:v>
                </c:pt>
                <c:pt idx="22" formatCode="#,##0">
                  <c:v>11808</c:v>
                </c:pt>
                <c:pt idx="23" formatCode="#,##0">
                  <c:v>11308</c:v>
                </c:pt>
                <c:pt idx="24" formatCode="#,##0">
                  <c:v>7730</c:v>
                </c:pt>
                <c:pt idx="25" formatCode="#,##0">
                  <c:v>16790</c:v>
                </c:pt>
                <c:pt idx="26" formatCode="#,##0">
                  <c:v>15951</c:v>
                </c:pt>
                <c:pt idx="27" formatCode="#,##0">
                  <c:v>20191</c:v>
                </c:pt>
                <c:pt idx="28" formatCode="#,##0">
                  <c:v>23066</c:v>
                </c:pt>
                <c:pt idx="29" formatCode="#,##0">
                  <c:v>119454</c:v>
                </c:pt>
                <c:pt idx="30">
                  <c:v>18390</c:v>
                </c:pt>
                <c:pt idx="31">
                  <c:v>11300</c:v>
                </c:pt>
                <c:pt idx="32">
                  <c:v>10113</c:v>
                </c:pt>
                <c:pt idx="33">
                  <c:v>10498</c:v>
                </c:pt>
                <c:pt idx="34" formatCode="#,##0">
                  <c:v>14615</c:v>
                </c:pt>
                <c:pt idx="35" formatCode="#,##0">
                  <c:v>10380</c:v>
                </c:pt>
                <c:pt idx="36" formatCode="#,##0">
                  <c:v>14446</c:v>
                </c:pt>
                <c:pt idx="37" formatCode="#,##0">
                  <c:v>11665</c:v>
                </c:pt>
                <c:pt idx="38" formatCode="#,##0">
                  <c:v>11863</c:v>
                </c:pt>
              </c:numCache>
            </c:numRef>
          </c:val>
          <c:smooth val="0"/>
          <c:extLst>
            <c:ext xmlns:c16="http://schemas.microsoft.com/office/drawing/2014/chart" uri="{C3380CC4-5D6E-409C-BE32-E72D297353CC}">
              <c16:uniqueId val="{00000000-2EA1-4002-A9A5-356ECE5A46DB}"/>
            </c:ext>
          </c:extLst>
        </c:ser>
        <c:dLbls>
          <c:showLegendKey val="0"/>
          <c:showVal val="0"/>
          <c:showCatName val="0"/>
          <c:showSerName val="0"/>
          <c:showPercent val="0"/>
          <c:showBubbleSize val="0"/>
        </c:dLbls>
        <c:marker val="1"/>
        <c:smooth val="0"/>
        <c:axId val="521310592"/>
        <c:axId val="521311248"/>
      </c:lineChart>
      <c:lineChart>
        <c:grouping val="standard"/>
        <c:varyColors val="0"/>
        <c:ser>
          <c:idx val="1"/>
          <c:order val="0"/>
          <c:tx>
            <c:strRef>
              <c:f>pageviews!$D$38</c:f>
              <c:strCache>
                <c:ptCount val="1"/>
                <c:pt idx="0">
                  <c:v>Unique visitors</c:v>
                </c:pt>
              </c:strCache>
            </c:strRef>
          </c:tx>
          <c:spPr>
            <a:ln w="28575" cap="rnd">
              <a:solidFill>
                <a:srgbClr val="00B0F0"/>
              </a:solidFill>
              <a:prstDash val="sysDot"/>
              <a:round/>
            </a:ln>
            <a:effectLst/>
          </c:spPr>
          <c:marker>
            <c:symbol val="none"/>
          </c:marker>
          <c:cat>
            <c:numRef>
              <c:f>pageviews!$A$39:$A$77</c:f>
              <c:numCache>
                <c:formatCode>mmm\-yy</c:formatCode>
                <c:ptCount val="39"/>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pt idx="27">
                  <c:v>43922</c:v>
                </c:pt>
                <c:pt idx="28">
                  <c:v>43952</c:v>
                </c:pt>
                <c:pt idx="29">
                  <c:v>43983</c:v>
                </c:pt>
                <c:pt idx="30">
                  <c:v>44013</c:v>
                </c:pt>
                <c:pt idx="31">
                  <c:v>44044</c:v>
                </c:pt>
                <c:pt idx="32">
                  <c:v>44075</c:v>
                </c:pt>
                <c:pt idx="33">
                  <c:v>44105</c:v>
                </c:pt>
                <c:pt idx="34">
                  <c:v>44136</c:v>
                </c:pt>
                <c:pt idx="35">
                  <c:v>44166</c:v>
                </c:pt>
                <c:pt idx="36">
                  <c:v>44197</c:v>
                </c:pt>
                <c:pt idx="37">
                  <c:v>44228</c:v>
                </c:pt>
                <c:pt idx="38">
                  <c:v>44256</c:v>
                </c:pt>
              </c:numCache>
            </c:numRef>
          </c:cat>
          <c:val>
            <c:numRef>
              <c:f>pageviews!$D$39:$D$77</c:f>
              <c:numCache>
                <c:formatCode>General</c:formatCode>
                <c:ptCount val="39"/>
                <c:pt idx="0">
                  <c:v>931</c:v>
                </c:pt>
                <c:pt idx="1">
                  <c:v>689</c:v>
                </c:pt>
                <c:pt idx="2">
                  <c:v>929</c:v>
                </c:pt>
                <c:pt idx="3">
                  <c:v>1063</c:v>
                </c:pt>
                <c:pt idx="4">
                  <c:v>730</c:v>
                </c:pt>
                <c:pt idx="5" formatCode="#,##0">
                  <c:v>1349</c:v>
                </c:pt>
                <c:pt idx="6" formatCode="#,##0">
                  <c:v>1462</c:v>
                </c:pt>
                <c:pt idx="7">
                  <c:v>481</c:v>
                </c:pt>
                <c:pt idx="8">
                  <c:v>493</c:v>
                </c:pt>
                <c:pt idx="9">
                  <c:v>559</c:v>
                </c:pt>
                <c:pt idx="10">
                  <c:v>674</c:v>
                </c:pt>
                <c:pt idx="11">
                  <c:v>577</c:v>
                </c:pt>
                <c:pt idx="12">
                  <c:v>681</c:v>
                </c:pt>
                <c:pt idx="13">
                  <c:v>515</c:v>
                </c:pt>
                <c:pt idx="14">
                  <c:v>574</c:v>
                </c:pt>
                <c:pt idx="15">
                  <c:v>535</c:v>
                </c:pt>
                <c:pt idx="16">
                  <c:v>588</c:v>
                </c:pt>
                <c:pt idx="17">
                  <c:v>559</c:v>
                </c:pt>
                <c:pt idx="18">
                  <c:v>543</c:v>
                </c:pt>
                <c:pt idx="19">
                  <c:v>549</c:v>
                </c:pt>
                <c:pt idx="20">
                  <c:v>519</c:v>
                </c:pt>
                <c:pt idx="21">
                  <c:v>621</c:v>
                </c:pt>
                <c:pt idx="22" formatCode="#,##0">
                  <c:v>2555</c:v>
                </c:pt>
                <c:pt idx="23" formatCode="#,##0">
                  <c:v>3103</c:v>
                </c:pt>
                <c:pt idx="24" formatCode="#,##0">
                  <c:v>1827</c:v>
                </c:pt>
                <c:pt idx="25" formatCode="#,##0">
                  <c:v>5287</c:v>
                </c:pt>
                <c:pt idx="26" formatCode="#,##0">
                  <c:v>3277</c:v>
                </c:pt>
                <c:pt idx="27" formatCode="#,##0">
                  <c:v>1023</c:v>
                </c:pt>
                <c:pt idx="28">
                  <c:v>768</c:v>
                </c:pt>
                <c:pt idx="29">
                  <c:v>657</c:v>
                </c:pt>
                <c:pt idx="30">
                  <c:v>763</c:v>
                </c:pt>
                <c:pt idx="31">
                  <c:v>608</c:v>
                </c:pt>
                <c:pt idx="32">
                  <c:v>755</c:v>
                </c:pt>
                <c:pt idx="33">
                  <c:v>1029</c:v>
                </c:pt>
                <c:pt idx="34" formatCode="#,##0">
                  <c:v>1613</c:v>
                </c:pt>
                <c:pt idx="35" formatCode="#,##0">
                  <c:v>1116</c:v>
                </c:pt>
                <c:pt idx="36" formatCode="#,##0">
                  <c:v>1578</c:v>
                </c:pt>
                <c:pt idx="37" formatCode="#,##0">
                  <c:v>1334</c:v>
                </c:pt>
                <c:pt idx="38">
                  <c:v>925</c:v>
                </c:pt>
              </c:numCache>
            </c:numRef>
          </c:val>
          <c:smooth val="0"/>
          <c:extLst>
            <c:ext xmlns:c16="http://schemas.microsoft.com/office/drawing/2014/chart" uri="{C3380CC4-5D6E-409C-BE32-E72D297353CC}">
              <c16:uniqueId val="{00000001-2EA1-4002-A9A5-356ECE5A46DB}"/>
            </c:ext>
          </c:extLst>
        </c:ser>
        <c:ser>
          <c:idx val="2"/>
          <c:order val="1"/>
          <c:tx>
            <c:strRef>
              <c:f>pageviews!$E$38</c:f>
              <c:strCache>
                <c:ptCount val="1"/>
                <c:pt idx="0">
                  <c:v>Number of visits</c:v>
                </c:pt>
              </c:strCache>
            </c:strRef>
          </c:tx>
          <c:spPr>
            <a:ln w="28575" cap="rnd">
              <a:solidFill>
                <a:srgbClr val="FF9900"/>
              </a:solidFill>
              <a:prstDash val="sysDot"/>
              <a:round/>
            </a:ln>
            <a:effectLst/>
          </c:spPr>
          <c:marker>
            <c:symbol val="none"/>
          </c:marker>
          <c:cat>
            <c:numRef>
              <c:f>pageviews!$A$39:$A$77</c:f>
              <c:numCache>
                <c:formatCode>mmm\-yy</c:formatCode>
                <c:ptCount val="39"/>
                <c:pt idx="0">
                  <c:v>43101</c:v>
                </c:pt>
                <c:pt idx="1">
                  <c:v>43132</c:v>
                </c:pt>
                <c:pt idx="2">
                  <c:v>43160</c:v>
                </c:pt>
                <c:pt idx="3">
                  <c:v>43191</c:v>
                </c:pt>
                <c:pt idx="4">
                  <c:v>43221</c:v>
                </c:pt>
                <c:pt idx="5">
                  <c:v>43252</c:v>
                </c:pt>
                <c:pt idx="6">
                  <c:v>43282</c:v>
                </c:pt>
                <c:pt idx="7">
                  <c:v>43313</c:v>
                </c:pt>
                <c:pt idx="8">
                  <c:v>43344</c:v>
                </c:pt>
                <c:pt idx="9">
                  <c:v>43374</c:v>
                </c:pt>
                <c:pt idx="10">
                  <c:v>43405</c:v>
                </c:pt>
                <c:pt idx="11">
                  <c:v>43435</c:v>
                </c:pt>
                <c:pt idx="12">
                  <c:v>43466</c:v>
                </c:pt>
                <c:pt idx="13">
                  <c:v>43497</c:v>
                </c:pt>
                <c:pt idx="14">
                  <c:v>43525</c:v>
                </c:pt>
                <c:pt idx="15">
                  <c:v>43556</c:v>
                </c:pt>
                <c:pt idx="16">
                  <c:v>43586</c:v>
                </c:pt>
                <c:pt idx="17">
                  <c:v>43617</c:v>
                </c:pt>
                <c:pt idx="18">
                  <c:v>43647</c:v>
                </c:pt>
                <c:pt idx="19">
                  <c:v>43678</c:v>
                </c:pt>
                <c:pt idx="20">
                  <c:v>43709</c:v>
                </c:pt>
                <c:pt idx="21">
                  <c:v>43739</c:v>
                </c:pt>
                <c:pt idx="22">
                  <c:v>43770</c:v>
                </c:pt>
                <c:pt idx="23">
                  <c:v>43800</c:v>
                </c:pt>
                <c:pt idx="24">
                  <c:v>43831</c:v>
                </c:pt>
                <c:pt idx="25">
                  <c:v>43862</c:v>
                </c:pt>
                <c:pt idx="26">
                  <c:v>43891</c:v>
                </c:pt>
                <c:pt idx="27">
                  <c:v>43922</c:v>
                </c:pt>
                <c:pt idx="28">
                  <c:v>43952</c:v>
                </c:pt>
                <c:pt idx="29">
                  <c:v>43983</c:v>
                </c:pt>
                <c:pt idx="30">
                  <c:v>44013</c:v>
                </c:pt>
                <c:pt idx="31">
                  <c:v>44044</c:v>
                </c:pt>
                <c:pt idx="32">
                  <c:v>44075</c:v>
                </c:pt>
                <c:pt idx="33">
                  <c:v>44105</c:v>
                </c:pt>
                <c:pt idx="34">
                  <c:v>44136</c:v>
                </c:pt>
                <c:pt idx="35">
                  <c:v>44166</c:v>
                </c:pt>
                <c:pt idx="36">
                  <c:v>44197</c:v>
                </c:pt>
                <c:pt idx="37">
                  <c:v>44228</c:v>
                </c:pt>
                <c:pt idx="38">
                  <c:v>44256</c:v>
                </c:pt>
              </c:numCache>
            </c:numRef>
          </c:cat>
          <c:val>
            <c:numRef>
              <c:f>pageviews!$E$39:$E$77</c:f>
              <c:numCache>
                <c:formatCode>#,##0</c:formatCode>
                <c:ptCount val="39"/>
                <c:pt idx="0">
                  <c:v>1483</c:v>
                </c:pt>
                <c:pt idx="1">
                  <c:v>1065</c:v>
                </c:pt>
                <c:pt idx="2">
                  <c:v>1276</c:v>
                </c:pt>
                <c:pt idx="3">
                  <c:v>1586</c:v>
                </c:pt>
                <c:pt idx="4">
                  <c:v>1312</c:v>
                </c:pt>
                <c:pt idx="5">
                  <c:v>2662</c:v>
                </c:pt>
                <c:pt idx="6">
                  <c:v>3596</c:v>
                </c:pt>
                <c:pt idx="7" formatCode="General">
                  <c:v>800</c:v>
                </c:pt>
                <c:pt idx="8" formatCode="General">
                  <c:v>681</c:v>
                </c:pt>
                <c:pt idx="9" formatCode="General">
                  <c:v>876</c:v>
                </c:pt>
                <c:pt idx="10">
                  <c:v>1145</c:v>
                </c:pt>
                <c:pt idx="11" formatCode="General">
                  <c:v>970</c:v>
                </c:pt>
                <c:pt idx="12">
                  <c:v>1745</c:v>
                </c:pt>
                <c:pt idx="13" formatCode="General">
                  <c:v>938</c:v>
                </c:pt>
                <c:pt idx="14" formatCode="General">
                  <c:v>996</c:v>
                </c:pt>
                <c:pt idx="15" formatCode="General">
                  <c:v>985</c:v>
                </c:pt>
                <c:pt idx="16">
                  <c:v>1184</c:v>
                </c:pt>
                <c:pt idx="17">
                  <c:v>1268</c:v>
                </c:pt>
                <c:pt idx="18" formatCode="General">
                  <c:v>927</c:v>
                </c:pt>
                <c:pt idx="19" formatCode="General">
                  <c:v>886</c:v>
                </c:pt>
                <c:pt idx="20">
                  <c:v>1009</c:v>
                </c:pt>
                <c:pt idx="21">
                  <c:v>1109</c:v>
                </c:pt>
                <c:pt idx="22">
                  <c:v>3015</c:v>
                </c:pt>
                <c:pt idx="23">
                  <c:v>4446</c:v>
                </c:pt>
                <c:pt idx="24">
                  <c:v>2395</c:v>
                </c:pt>
                <c:pt idx="25">
                  <c:v>7082</c:v>
                </c:pt>
                <c:pt idx="26">
                  <c:v>7780</c:v>
                </c:pt>
                <c:pt idx="27">
                  <c:v>7848</c:v>
                </c:pt>
                <c:pt idx="28">
                  <c:v>2466</c:v>
                </c:pt>
                <c:pt idx="29">
                  <c:v>1727</c:v>
                </c:pt>
                <c:pt idx="30" formatCode="General">
                  <c:v>2053</c:v>
                </c:pt>
                <c:pt idx="31" formatCode="General">
                  <c:v>1577</c:v>
                </c:pt>
                <c:pt idx="32" formatCode="General">
                  <c:v>1758</c:v>
                </c:pt>
                <c:pt idx="33" formatCode="General">
                  <c:v>1869</c:v>
                </c:pt>
                <c:pt idx="34">
                  <c:v>2230</c:v>
                </c:pt>
                <c:pt idx="35">
                  <c:v>1802</c:v>
                </c:pt>
                <c:pt idx="36">
                  <c:v>2289</c:v>
                </c:pt>
                <c:pt idx="37">
                  <c:v>1938</c:v>
                </c:pt>
                <c:pt idx="38">
                  <c:v>1364</c:v>
                </c:pt>
              </c:numCache>
            </c:numRef>
          </c:val>
          <c:smooth val="0"/>
          <c:extLst>
            <c:ext xmlns:c16="http://schemas.microsoft.com/office/drawing/2014/chart" uri="{C3380CC4-5D6E-409C-BE32-E72D297353CC}">
              <c16:uniqueId val="{00000002-2EA1-4002-A9A5-356ECE5A46DB}"/>
            </c:ext>
          </c:extLst>
        </c:ser>
        <c:dLbls>
          <c:showLegendKey val="0"/>
          <c:showVal val="0"/>
          <c:showCatName val="0"/>
          <c:showSerName val="0"/>
          <c:showPercent val="0"/>
          <c:showBubbleSize val="0"/>
        </c:dLbls>
        <c:marker val="1"/>
        <c:smooth val="0"/>
        <c:axId val="521314856"/>
        <c:axId val="521317152"/>
      </c:lineChart>
      <c:dateAx>
        <c:axId val="521310592"/>
        <c:scaling>
          <c:orientation val="minMax"/>
          <c:min val="43556"/>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1311248"/>
        <c:crosses val="autoZero"/>
        <c:auto val="1"/>
        <c:lblOffset val="100"/>
        <c:baseTimeUnit val="months"/>
      </c:dateAx>
      <c:valAx>
        <c:axId val="521311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pages accesesd per month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1310592"/>
        <c:crosses val="autoZero"/>
        <c:crossBetween val="between"/>
      </c:valAx>
      <c:valAx>
        <c:axId val="521317152"/>
        <c:scaling>
          <c:orientation val="minMax"/>
          <c:max val="800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unique</a:t>
                </a:r>
                <a:r>
                  <a:rPr lang="en-GB" baseline="0"/>
                  <a:t> visitors and visits per month</a:t>
                </a:r>
                <a:endParaRPr lang="en-GB"/>
              </a:p>
            </c:rich>
          </c:tx>
          <c:layout>
            <c:manualLayout>
              <c:xMode val="edge"/>
              <c:yMode val="edge"/>
              <c:x val="0.93806611886107394"/>
              <c:y val="0.130989385664747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1314856"/>
        <c:crosses val="max"/>
        <c:crossBetween val="between"/>
      </c:valAx>
      <c:dateAx>
        <c:axId val="521314856"/>
        <c:scaling>
          <c:orientation val="minMax"/>
        </c:scaling>
        <c:delete val="1"/>
        <c:axPos val="b"/>
        <c:numFmt formatCode="mmm\-yy" sourceLinked="1"/>
        <c:majorTickMark val="out"/>
        <c:minorTickMark val="none"/>
        <c:tickLblPos val="nextTo"/>
        <c:crossAx val="521317152"/>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Sheet1!$B$6</c:f>
              <c:strCache>
                <c:ptCount val="1"/>
                <c:pt idx="0">
                  <c:v>Pages</c:v>
                </c:pt>
              </c:strCache>
            </c:strRef>
          </c:tx>
          <c:spPr>
            <a:ln w="28575" cap="rnd">
              <a:solidFill>
                <a:schemeClr val="accent1">
                  <a:lumMod val="75000"/>
                </a:schemeClr>
              </a:solidFill>
              <a:round/>
            </a:ln>
            <a:effectLst/>
          </c:spPr>
          <c:marker>
            <c:symbol val="none"/>
          </c:marker>
          <c:cat>
            <c:numRef>
              <c:f>Sheet1!$A$7:$A$66</c:f>
              <c:numCache>
                <c:formatCode>mmm\-yy</c:formatCode>
                <c:ptCount val="60"/>
                <c:pt idx="0">
                  <c:v>42461</c:v>
                </c:pt>
                <c:pt idx="1">
                  <c:v>42491</c:v>
                </c:pt>
                <c:pt idx="2">
                  <c:v>42522</c:v>
                </c:pt>
                <c:pt idx="3">
                  <c:v>42552</c:v>
                </c:pt>
                <c:pt idx="4">
                  <c:v>42583</c:v>
                </c:pt>
                <c:pt idx="5">
                  <c:v>42614</c:v>
                </c:pt>
                <c:pt idx="6">
                  <c:v>42644</c:v>
                </c:pt>
                <c:pt idx="7">
                  <c:v>42675</c:v>
                </c:pt>
                <c:pt idx="8">
                  <c:v>42705</c:v>
                </c:pt>
                <c:pt idx="9">
                  <c:v>42736</c:v>
                </c:pt>
                <c:pt idx="10">
                  <c:v>42767</c:v>
                </c:pt>
                <c:pt idx="11">
                  <c:v>42795</c:v>
                </c:pt>
                <c:pt idx="12">
                  <c:v>42826</c:v>
                </c:pt>
                <c:pt idx="13">
                  <c:v>42856</c:v>
                </c:pt>
                <c:pt idx="14">
                  <c:v>42887</c:v>
                </c:pt>
                <c:pt idx="15">
                  <c:v>42917</c:v>
                </c:pt>
                <c:pt idx="16">
                  <c:v>42948</c:v>
                </c:pt>
                <c:pt idx="17">
                  <c:v>42979</c:v>
                </c:pt>
                <c:pt idx="18">
                  <c:v>43009</c:v>
                </c:pt>
                <c:pt idx="19">
                  <c:v>43040</c:v>
                </c:pt>
                <c:pt idx="20">
                  <c:v>43070</c:v>
                </c:pt>
                <c:pt idx="21">
                  <c:v>43101</c:v>
                </c:pt>
                <c:pt idx="22">
                  <c:v>43132</c:v>
                </c:pt>
                <c:pt idx="23">
                  <c:v>43160</c:v>
                </c:pt>
                <c:pt idx="24">
                  <c:v>43191</c:v>
                </c:pt>
                <c:pt idx="25">
                  <c:v>43221</c:v>
                </c:pt>
                <c:pt idx="26">
                  <c:v>43252</c:v>
                </c:pt>
                <c:pt idx="27">
                  <c:v>43282</c:v>
                </c:pt>
                <c:pt idx="28">
                  <c:v>43313</c:v>
                </c:pt>
                <c:pt idx="29">
                  <c:v>43344</c:v>
                </c:pt>
                <c:pt idx="30">
                  <c:v>43374</c:v>
                </c:pt>
                <c:pt idx="31">
                  <c:v>43405</c:v>
                </c:pt>
                <c:pt idx="32">
                  <c:v>43435</c:v>
                </c:pt>
                <c:pt idx="33">
                  <c:v>43466</c:v>
                </c:pt>
                <c:pt idx="34">
                  <c:v>43497</c:v>
                </c:pt>
                <c:pt idx="35">
                  <c:v>43525</c:v>
                </c:pt>
                <c:pt idx="36">
                  <c:v>43556</c:v>
                </c:pt>
                <c:pt idx="37">
                  <c:v>43586</c:v>
                </c:pt>
                <c:pt idx="38">
                  <c:v>43617</c:v>
                </c:pt>
                <c:pt idx="39">
                  <c:v>43647</c:v>
                </c:pt>
                <c:pt idx="40">
                  <c:v>43678</c:v>
                </c:pt>
                <c:pt idx="41">
                  <c:v>43709</c:v>
                </c:pt>
                <c:pt idx="42">
                  <c:v>43739</c:v>
                </c:pt>
                <c:pt idx="43">
                  <c:v>43770</c:v>
                </c:pt>
                <c:pt idx="44">
                  <c:v>43800</c:v>
                </c:pt>
                <c:pt idx="45">
                  <c:v>43831</c:v>
                </c:pt>
                <c:pt idx="46">
                  <c:v>43862</c:v>
                </c:pt>
                <c:pt idx="47">
                  <c:v>43891</c:v>
                </c:pt>
                <c:pt idx="48">
                  <c:v>43922</c:v>
                </c:pt>
                <c:pt idx="49">
                  <c:v>43952</c:v>
                </c:pt>
                <c:pt idx="50">
                  <c:v>43983</c:v>
                </c:pt>
                <c:pt idx="51">
                  <c:v>44013</c:v>
                </c:pt>
                <c:pt idx="52">
                  <c:v>44044</c:v>
                </c:pt>
                <c:pt idx="53">
                  <c:v>44075</c:v>
                </c:pt>
                <c:pt idx="54">
                  <c:v>44105</c:v>
                </c:pt>
                <c:pt idx="55">
                  <c:v>44136</c:v>
                </c:pt>
                <c:pt idx="56">
                  <c:v>44166</c:v>
                </c:pt>
                <c:pt idx="57">
                  <c:v>44197</c:v>
                </c:pt>
                <c:pt idx="58">
                  <c:v>44228</c:v>
                </c:pt>
                <c:pt idx="59">
                  <c:v>44256</c:v>
                </c:pt>
              </c:numCache>
            </c:numRef>
          </c:cat>
          <c:val>
            <c:numRef>
              <c:f>Sheet1!$B$7:$B$66</c:f>
              <c:numCache>
                <c:formatCode>#,##0</c:formatCode>
                <c:ptCount val="60"/>
                <c:pt idx="0">
                  <c:v>1423</c:v>
                </c:pt>
                <c:pt idx="1">
                  <c:v>1735</c:v>
                </c:pt>
                <c:pt idx="2">
                  <c:v>1724</c:v>
                </c:pt>
                <c:pt idx="3">
                  <c:v>1489</c:v>
                </c:pt>
                <c:pt idx="4">
                  <c:v>3924</c:v>
                </c:pt>
                <c:pt idx="5">
                  <c:v>2212</c:v>
                </c:pt>
                <c:pt idx="6">
                  <c:v>2034</c:v>
                </c:pt>
                <c:pt idx="7">
                  <c:v>2451</c:v>
                </c:pt>
                <c:pt idx="9">
                  <c:v>4404</c:v>
                </c:pt>
                <c:pt idx="10">
                  <c:v>12090</c:v>
                </c:pt>
                <c:pt idx="11">
                  <c:v>7865</c:v>
                </c:pt>
                <c:pt idx="12">
                  <c:v>7034</c:v>
                </c:pt>
                <c:pt idx="13">
                  <c:v>8444</c:v>
                </c:pt>
                <c:pt idx="14">
                  <c:v>8569</c:v>
                </c:pt>
                <c:pt idx="15">
                  <c:v>6975</c:v>
                </c:pt>
                <c:pt idx="16">
                  <c:v>9453</c:v>
                </c:pt>
                <c:pt idx="17">
                  <c:v>8614</c:v>
                </c:pt>
                <c:pt idx="18">
                  <c:v>8775</c:v>
                </c:pt>
                <c:pt idx="19">
                  <c:v>11643</c:v>
                </c:pt>
                <c:pt idx="20">
                  <c:v>11489</c:v>
                </c:pt>
                <c:pt idx="21">
                  <c:v>13246</c:v>
                </c:pt>
                <c:pt idx="22">
                  <c:v>10131</c:v>
                </c:pt>
                <c:pt idx="23">
                  <c:v>13224</c:v>
                </c:pt>
                <c:pt idx="24">
                  <c:v>7561</c:v>
                </c:pt>
                <c:pt idx="25">
                  <c:v>9369</c:v>
                </c:pt>
                <c:pt idx="26">
                  <c:v>7675</c:v>
                </c:pt>
                <c:pt idx="27">
                  <c:v>8476</c:v>
                </c:pt>
                <c:pt idx="28">
                  <c:v>5431</c:v>
                </c:pt>
                <c:pt idx="29">
                  <c:v>4702</c:v>
                </c:pt>
                <c:pt idx="30">
                  <c:v>5557</c:v>
                </c:pt>
                <c:pt idx="31">
                  <c:v>4036</c:v>
                </c:pt>
                <c:pt idx="32">
                  <c:v>2885</c:v>
                </c:pt>
                <c:pt idx="33">
                  <c:v>3466</c:v>
                </c:pt>
                <c:pt idx="34">
                  <c:v>3588</c:v>
                </c:pt>
                <c:pt idx="35">
                  <c:v>6521</c:v>
                </c:pt>
                <c:pt idx="36">
                  <c:v>2851</c:v>
                </c:pt>
                <c:pt idx="37">
                  <c:v>3923</c:v>
                </c:pt>
                <c:pt idx="38">
                  <c:v>2336</c:v>
                </c:pt>
                <c:pt idx="39">
                  <c:v>2899</c:v>
                </c:pt>
                <c:pt idx="40">
                  <c:v>2330</c:v>
                </c:pt>
                <c:pt idx="41">
                  <c:v>2598</c:v>
                </c:pt>
                <c:pt idx="42">
                  <c:v>3503</c:v>
                </c:pt>
                <c:pt idx="43">
                  <c:v>2971</c:v>
                </c:pt>
                <c:pt idx="44">
                  <c:v>2073</c:v>
                </c:pt>
                <c:pt idx="45">
                  <c:v>3873</c:v>
                </c:pt>
                <c:pt idx="46">
                  <c:v>4570</c:v>
                </c:pt>
                <c:pt idx="47">
                  <c:v>2115</c:v>
                </c:pt>
                <c:pt idx="48">
                  <c:v>1111</c:v>
                </c:pt>
                <c:pt idx="49">
                  <c:v>2863</c:v>
                </c:pt>
                <c:pt idx="50">
                  <c:v>2382</c:v>
                </c:pt>
                <c:pt idx="51">
                  <c:v>4056</c:v>
                </c:pt>
                <c:pt idx="52">
                  <c:v>4531</c:v>
                </c:pt>
                <c:pt idx="53">
                  <c:v>10144</c:v>
                </c:pt>
                <c:pt idx="54">
                  <c:v>17114</c:v>
                </c:pt>
                <c:pt idx="55">
                  <c:v>13443</c:v>
                </c:pt>
                <c:pt idx="56">
                  <c:v>9682</c:v>
                </c:pt>
                <c:pt idx="57">
                  <c:v>15314</c:v>
                </c:pt>
                <c:pt idx="58">
                  <c:v>15042</c:v>
                </c:pt>
                <c:pt idx="59">
                  <c:v>5781</c:v>
                </c:pt>
              </c:numCache>
            </c:numRef>
          </c:val>
          <c:smooth val="0"/>
          <c:extLst>
            <c:ext xmlns:c16="http://schemas.microsoft.com/office/drawing/2014/chart" uri="{C3380CC4-5D6E-409C-BE32-E72D297353CC}">
              <c16:uniqueId val="{00000000-2CE2-4931-9685-A983D45698DA}"/>
            </c:ext>
          </c:extLst>
        </c:ser>
        <c:dLbls>
          <c:showLegendKey val="0"/>
          <c:showVal val="0"/>
          <c:showCatName val="0"/>
          <c:showSerName val="0"/>
          <c:showPercent val="0"/>
          <c:showBubbleSize val="0"/>
        </c:dLbls>
        <c:marker val="1"/>
        <c:smooth val="0"/>
        <c:axId val="227364320"/>
        <c:axId val="227356776"/>
      </c:lineChart>
      <c:lineChart>
        <c:grouping val="standard"/>
        <c:varyColors val="0"/>
        <c:ser>
          <c:idx val="1"/>
          <c:order val="1"/>
          <c:tx>
            <c:strRef>
              <c:f>Sheet1!$C$6</c:f>
              <c:strCache>
                <c:ptCount val="1"/>
                <c:pt idx="0">
                  <c:v>Unique visitors</c:v>
                </c:pt>
              </c:strCache>
            </c:strRef>
          </c:tx>
          <c:spPr>
            <a:ln w="28575" cap="rnd">
              <a:solidFill>
                <a:schemeClr val="accent1">
                  <a:lumMod val="60000"/>
                  <a:lumOff val="40000"/>
                </a:schemeClr>
              </a:solidFill>
              <a:prstDash val="sysDot"/>
              <a:round/>
            </a:ln>
            <a:effectLst/>
          </c:spPr>
          <c:marker>
            <c:symbol val="none"/>
          </c:marker>
          <c:cat>
            <c:numRef>
              <c:f>Sheet1!$A$7:$A$66</c:f>
              <c:numCache>
                <c:formatCode>mmm\-yy</c:formatCode>
                <c:ptCount val="60"/>
                <c:pt idx="0">
                  <c:v>42461</c:v>
                </c:pt>
                <c:pt idx="1">
                  <c:v>42491</c:v>
                </c:pt>
                <c:pt idx="2">
                  <c:v>42522</c:v>
                </c:pt>
                <c:pt idx="3">
                  <c:v>42552</c:v>
                </c:pt>
                <c:pt idx="4">
                  <c:v>42583</c:v>
                </c:pt>
                <c:pt idx="5">
                  <c:v>42614</c:v>
                </c:pt>
                <c:pt idx="6">
                  <c:v>42644</c:v>
                </c:pt>
                <c:pt idx="7">
                  <c:v>42675</c:v>
                </c:pt>
                <c:pt idx="8">
                  <c:v>42705</c:v>
                </c:pt>
                <c:pt idx="9">
                  <c:v>42736</c:v>
                </c:pt>
                <c:pt idx="10">
                  <c:v>42767</c:v>
                </c:pt>
                <c:pt idx="11">
                  <c:v>42795</c:v>
                </c:pt>
                <c:pt idx="12">
                  <c:v>42826</c:v>
                </c:pt>
                <c:pt idx="13">
                  <c:v>42856</c:v>
                </c:pt>
                <c:pt idx="14">
                  <c:v>42887</c:v>
                </c:pt>
                <c:pt idx="15">
                  <c:v>42917</c:v>
                </c:pt>
                <c:pt idx="16">
                  <c:v>42948</c:v>
                </c:pt>
                <c:pt idx="17">
                  <c:v>42979</c:v>
                </c:pt>
                <c:pt idx="18">
                  <c:v>43009</c:v>
                </c:pt>
                <c:pt idx="19">
                  <c:v>43040</c:v>
                </c:pt>
                <c:pt idx="20">
                  <c:v>43070</c:v>
                </c:pt>
                <c:pt idx="21">
                  <c:v>43101</c:v>
                </c:pt>
                <c:pt idx="22">
                  <c:v>43132</c:v>
                </c:pt>
                <c:pt idx="23">
                  <c:v>43160</c:v>
                </c:pt>
                <c:pt idx="24">
                  <c:v>43191</c:v>
                </c:pt>
                <c:pt idx="25">
                  <c:v>43221</c:v>
                </c:pt>
                <c:pt idx="26">
                  <c:v>43252</c:v>
                </c:pt>
                <c:pt idx="27">
                  <c:v>43282</c:v>
                </c:pt>
                <c:pt idx="28">
                  <c:v>43313</c:v>
                </c:pt>
                <c:pt idx="29">
                  <c:v>43344</c:v>
                </c:pt>
                <c:pt idx="30">
                  <c:v>43374</c:v>
                </c:pt>
                <c:pt idx="31">
                  <c:v>43405</c:v>
                </c:pt>
                <c:pt idx="32">
                  <c:v>43435</c:v>
                </c:pt>
                <c:pt idx="33">
                  <c:v>43466</c:v>
                </c:pt>
                <c:pt idx="34">
                  <c:v>43497</c:v>
                </c:pt>
                <c:pt idx="35">
                  <c:v>43525</c:v>
                </c:pt>
                <c:pt idx="36">
                  <c:v>43556</c:v>
                </c:pt>
                <c:pt idx="37">
                  <c:v>43586</c:v>
                </c:pt>
                <c:pt idx="38">
                  <c:v>43617</c:v>
                </c:pt>
                <c:pt idx="39">
                  <c:v>43647</c:v>
                </c:pt>
                <c:pt idx="40">
                  <c:v>43678</c:v>
                </c:pt>
                <c:pt idx="41">
                  <c:v>43709</c:v>
                </c:pt>
                <c:pt idx="42">
                  <c:v>43739</c:v>
                </c:pt>
                <c:pt idx="43">
                  <c:v>43770</c:v>
                </c:pt>
                <c:pt idx="44">
                  <c:v>43800</c:v>
                </c:pt>
                <c:pt idx="45">
                  <c:v>43831</c:v>
                </c:pt>
                <c:pt idx="46">
                  <c:v>43862</c:v>
                </c:pt>
                <c:pt idx="47">
                  <c:v>43891</c:v>
                </c:pt>
                <c:pt idx="48">
                  <c:v>43922</c:v>
                </c:pt>
                <c:pt idx="49">
                  <c:v>43952</c:v>
                </c:pt>
                <c:pt idx="50">
                  <c:v>43983</c:v>
                </c:pt>
                <c:pt idx="51">
                  <c:v>44013</c:v>
                </c:pt>
                <c:pt idx="52">
                  <c:v>44044</c:v>
                </c:pt>
                <c:pt idx="53">
                  <c:v>44075</c:v>
                </c:pt>
                <c:pt idx="54">
                  <c:v>44105</c:v>
                </c:pt>
                <c:pt idx="55">
                  <c:v>44136</c:v>
                </c:pt>
                <c:pt idx="56">
                  <c:v>44166</c:v>
                </c:pt>
                <c:pt idx="57">
                  <c:v>44197</c:v>
                </c:pt>
                <c:pt idx="58">
                  <c:v>44228</c:v>
                </c:pt>
                <c:pt idx="59">
                  <c:v>44256</c:v>
                </c:pt>
              </c:numCache>
            </c:numRef>
          </c:cat>
          <c:val>
            <c:numRef>
              <c:f>Sheet1!$C$7:$C$66</c:f>
              <c:numCache>
                <c:formatCode>General</c:formatCode>
                <c:ptCount val="60"/>
                <c:pt idx="0">
                  <c:v>168</c:v>
                </c:pt>
                <c:pt idx="1">
                  <c:v>197</c:v>
                </c:pt>
                <c:pt idx="2">
                  <c:v>271</c:v>
                </c:pt>
                <c:pt idx="3">
                  <c:v>304</c:v>
                </c:pt>
                <c:pt idx="4" formatCode="#,##0">
                  <c:v>1325</c:v>
                </c:pt>
                <c:pt idx="5">
                  <c:v>786</c:v>
                </c:pt>
                <c:pt idx="6">
                  <c:v>806</c:v>
                </c:pt>
                <c:pt idx="7" formatCode="#,##0">
                  <c:v>1042</c:v>
                </c:pt>
                <c:pt idx="8" formatCode="#,##0">
                  <c:v>1329</c:v>
                </c:pt>
                <c:pt idx="9" formatCode="#,##0">
                  <c:v>2027</c:v>
                </c:pt>
                <c:pt idx="10" formatCode="#,##0">
                  <c:v>2012</c:v>
                </c:pt>
                <c:pt idx="11" formatCode="#,##0">
                  <c:v>2589</c:v>
                </c:pt>
                <c:pt idx="12" formatCode="#,##0">
                  <c:v>3893</c:v>
                </c:pt>
                <c:pt idx="13" formatCode="#,##0">
                  <c:v>4402</c:v>
                </c:pt>
                <c:pt idx="14" formatCode="#,##0">
                  <c:v>4562</c:v>
                </c:pt>
                <c:pt idx="15" formatCode="#,##0">
                  <c:v>4615</c:v>
                </c:pt>
                <c:pt idx="16" formatCode="#,##0">
                  <c:v>5139</c:v>
                </c:pt>
                <c:pt idx="17" formatCode="#,##0">
                  <c:v>6289</c:v>
                </c:pt>
                <c:pt idx="18" formatCode="#,##0">
                  <c:v>6085</c:v>
                </c:pt>
                <c:pt idx="19" formatCode="#,##0">
                  <c:v>7140</c:v>
                </c:pt>
                <c:pt idx="20" formatCode="#,##0">
                  <c:v>6968</c:v>
                </c:pt>
                <c:pt idx="21" formatCode="#,##0">
                  <c:v>7375</c:v>
                </c:pt>
                <c:pt idx="22" formatCode="#,##0">
                  <c:v>6264</c:v>
                </c:pt>
                <c:pt idx="23" formatCode="#,##0">
                  <c:v>5910</c:v>
                </c:pt>
                <c:pt idx="24" formatCode="#,##0">
                  <c:v>5175</c:v>
                </c:pt>
                <c:pt idx="25" formatCode="#,##0">
                  <c:v>5243</c:v>
                </c:pt>
                <c:pt idx="26" formatCode="#,##0">
                  <c:v>5177</c:v>
                </c:pt>
                <c:pt idx="27" formatCode="#,##0">
                  <c:v>4754</c:v>
                </c:pt>
                <c:pt idx="28" formatCode="#,##0">
                  <c:v>3526</c:v>
                </c:pt>
                <c:pt idx="29" formatCode="#,##0">
                  <c:v>2728</c:v>
                </c:pt>
                <c:pt idx="30" formatCode="#,##0">
                  <c:v>3252</c:v>
                </c:pt>
                <c:pt idx="31" formatCode="#,##0">
                  <c:v>1962</c:v>
                </c:pt>
                <c:pt idx="32" formatCode="#,##0">
                  <c:v>1244</c:v>
                </c:pt>
                <c:pt idx="33" formatCode="#,##0">
                  <c:v>1219</c:v>
                </c:pt>
                <c:pt idx="34">
                  <c:v>946</c:v>
                </c:pt>
                <c:pt idx="35">
                  <c:v>978</c:v>
                </c:pt>
                <c:pt idx="36">
                  <c:v>858</c:v>
                </c:pt>
                <c:pt idx="37">
                  <c:v>857</c:v>
                </c:pt>
                <c:pt idx="38">
                  <c:v>584</c:v>
                </c:pt>
                <c:pt idx="39">
                  <c:v>670</c:v>
                </c:pt>
                <c:pt idx="40">
                  <c:v>590</c:v>
                </c:pt>
                <c:pt idx="41">
                  <c:v>613</c:v>
                </c:pt>
                <c:pt idx="42">
                  <c:v>628</c:v>
                </c:pt>
                <c:pt idx="43">
                  <c:v>687</c:v>
                </c:pt>
                <c:pt idx="44">
                  <c:v>613</c:v>
                </c:pt>
                <c:pt idx="45">
                  <c:v>647</c:v>
                </c:pt>
                <c:pt idx="46">
                  <c:v>580</c:v>
                </c:pt>
                <c:pt idx="47">
                  <c:v>409</c:v>
                </c:pt>
                <c:pt idx="48">
                  <c:v>200</c:v>
                </c:pt>
                <c:pt idx="49">
                  <c:v>659</c:v>
                </c:pt>
                <c:pt idx="50">
                  <c:v>460</c:v>
                </c:pt>
                <c:pt idx="51">
                  <c:v>538</c:v>
                </c:pt>
                <c:pt idx="52">
                  <c:v>426</c:v>
                </c:pt>
                <c:pt idx="53">
                  <c:v>579</c:v>
                </c:pt>
                <c:pt idx="54">
                  <c:v>529</c:v>
                </c:pt>
                <c:pt idx="55">
                  <c:v>432</c:v>
                </c:pt>
                <c:pt idx="56">
                  <c:v>482</c:v>
                </c:pt>
                <c:pt idx="57">
                  <c:v>561</c:v>
                </c:pt>
                <c:pt idx="58">
                  <c:v>698</c:v>
                </c:pt>
                <c:pt idx="59">
                  <c:v>670</c:v>
                </c:pt>
              </c:numCache>
            </c:numRef>
          </c:val>
          <c:smooth val="0"/>
          <c:extLst>
            <c:ext xmlns:c16="http://schemas.microsoft.com/office/drawing/2014/chart" uri="{C3380CC4-5D6E-409C-BE32-E72D297353CC}">
              <c16:uniqueId val="{00000001-2CE2-4931-9685-A983D45698DA}"/>
            </c:ext>
          </c:extLst>
        </c:ser>
        <c:ser>
          <c:idx val="2"/>
          <c:order val="2"/>
          <c:tx>
            <c:strRef>
              <c:f>Sheet1!$D$6</c:f>
              <c:strCache>
                <c:ptCount val="1"/>
                <c:pt idx="0">
                  <c:v>Number of visits</c:v>
                </c:pt>
              </c:strCache>
            </c:strRef>
          </c:tx>
          <c:spPr>
            <a:ln w="28575" cap="rnd">
              <a:solidFill>
                <a:srgbClr val="FF9900"/>
              </a:solidFill>
              <a:prstDash val="sysDot"/>
              <a:round/>
            </a:ln>
            <a:effectLst/>
          </c:spPr>
          <c:marker>
            <c:symbol val="none"/>
          </c:marker>
          <c:cat>
            <c:numRef>
              <c:f>Sheet1!$A$7:$A$66</c:f>
              <c:numCache>
                <c:formatCode>mmm\-yy</c:formatCode>
                <c:ptCount val="60"/>
                <c:pt idx="0">
                  <c:v>42461</c:v>
                </c:pt>
                <c:pt idx="1">
                  <c:v>42491</c:v>
                </c:pt>
                <c:pt idx="2">
                  <c:v>42522</c:v>
                </c:pt>
                <c:pt idx="3">
                  <c:v>42552</c:v>
                </c:pt>
                <c:pt idx="4">
                  <c:v>42583</c:v>
                </c:pt>
                <c:pt idx="5">
                  <c:v>42614</c:v>
                </c:pt>
                <c:pt idx="6">
                  <c:v>42644</c:v>
                </c:pt>
                <c:pt idx="7">
                  <c:v>42675</c:v>
                </c:pt>
                <c:pt idx="8">
                  <c:v>42705</c:v>
                </c:pt>
                <c:pt idx="9">
                  <c:v>42736</c:v>
                </c:pt>
                <c:pt idx="10">
                  <c:v>42767</c:v>
                </c:pt>
                <c:pt idx="11">
                  <c:v>42795</c:v>
                </c:pt>
                <c:pt idx="12">
                  <c:v>42826</c:v>
                </c:pt>
                <c:pt idx="13">
                  <c:v>42856</c:v>
                </c:pt>
                <c:pt idx="14">
                  <c:v>42887</c:v>
                </c:pt>
                <c:pt idx="15">
                  <c:v>42917</c:v>
                </c:pt>
                <c:pt idx="16">
                  <c:v>42948</c:v>
                </c:pt>
                <c:pt idx="17">
                  <c:v>42979</c:v>
                </c:pt>
                <c:pt idx="18">
                  <c:v>43009</c:v>
                </c:pt>
                <c:pt idx="19">
                  <c:v>43040</c:v>
                </c:pt>
                <c:pt idx="20">
                  <c:v>43070</c:v>
                </c:pt>
                <c:pt idx="21">
                  <c:v>43101</c:v>
                </c:pt>
                <c:pt idx="22">
                  <c:v>43132</c:v>
                </c:pt>
                <c:pt idx="23">
                  <c:v>43160</c:v>
                </c:pt>
                <c:pt idx="24">
                  <c:v>43191</c:v>
                </c:pt>
                <c:pt idx="25">
                  <c:v>43221</c:v>
                </c:pt>
                <c:pt idx="26">
                  <c:v>43252</c:v>
                </c:pt>
                <c:pt idx="27">
                  <c:v>43282</c:v>
                </c:pt>
                <c:pt idx="28">
                  <c:v>43313</c:v>
                </c:pt>
                <c:pt idx="29">
                  <c:v>43344</c:v>
                </c:pt>
                <c:pt idx="30">
                  <c:v>43374</c:v>
                </c:pt>
                <c:pt idx="31">
                  <c:v>43405</c:v>
                </c:pt>
                <c:pt idx="32">
                  <c:v>43435</c:v>
                </c:pt>
                <c:pt idx="33">
                  <c:v>43466</c:v>
                </c:pt>
                <c:pt idx="34">
                  <c:v>43497</c:v>
                </c:pt>
                <c:pt idx="35">
                  <c:v>43525</c:v>
                </c:pt>
                <c:pt idx="36">
                  <c:v>43556</c:v>
                </c:pt>
                <c:pt idx="37">
                  <c:v>43586</c:v>
                </c:pt>
                <c:pt idx="38">
                  <c:v>43617</c:v>
                </c:pt>
                <c:pt idx="39">
                  <c:v>43647</c:v>
                </c:pt>
                <c:pt idx="40">
                  <c:v>43678</c:v>
                </c:pt>
                <c:pt idx="41">
                  <c:v>43709</c:v>
                </c:pt>
                <c:pt idx="42">
                  <c:v>43739</c:v>
                </c:pt>
                <c:pt idx="43">
                  <c:v>43770</c:v>
                </c:pt>
                <c:pt idx="44">
                  <c:v>43800</c:v>
                </c:pt>
                <c:pt idx="45">
                  <c:v>43831</c:v>
                </c:pt>
                <c:pt idx="46">
                  <c:v>43862</c:v>
                </c:pt>
                <c:pt idx="47">
                  <c:v>43891</c:v>
                </c:pt>
                <c:pt idx="48">
                  <c:v>43922</c:v>
                </c:pt>
                <c:pt idx="49">
                  <c:v>43952</c:v>
                </c:pt>
                <c:pt idx="50">
                  <c:v>43983</c:v>
                </c:pt>
                <c:pt idx="51">
                  <c:v>44013</c:v>
                </c:pt>
                <c:pt idx="52">
                  <c:v>44044</c:v>
                </c:pt>
                <c:pt idx="53">
                  <c:v>44075</c:v>
                </c:pt>
                <c:pt idx="54">
                  <c:v>44105</c:v>
                </c:pt>
                <c:pt idx="55">
                  <c:v>44136</c:v>
                </c:pt>
                <c:pt idx="56">
                  <c:v>44166</c:v>
                </c:pt>
                <c:pt idx="57">
                  <c:v>44197</c:v>
                </c:pt>
                <c:pt idx="58">
                  <c:v>44228</c:v>
                </c:pt>
                <c:pt idx="59">
                  <c:v>44256</c:v>
                </c:pt>
              </c:numCache>
            </c:numRef>
          </c:cat>
          <c:val>
            <c:numRef>
              <c:f>Sheet1!$D$7:$D$66</c:f>
              <c:numCache>
                <c:formatCode>General</c:formatCode>
                <c:ptCount val="60"/>
                <c:pt idx="0">
                  <c:v>296</c:v>
                </c:pt>
                <c:pt idx="1">
                  <c:v>304</c:v>
                </c:pt>
                <c:pt idx="2">
                  <c:v>511</c:v>
                </c:pt>
                <c:pt idx="3">
                  <c:v>412</c:v>
                </c:pt>
                <c:pt idx="4" formatCode="#,##0">
                  <c:v>1440</c:v>
                </c:pt>
                <c:pt idx="5">
                  <c:v>923</c:v>
                </c:pt>
                <c:pt idx="6" formatCode="#,##0">
                  <c:v>1039</c:v>
                </c:pt>
                <c:pt idx="7" formatCode="#,##0">
                  <c:v>1315</c:v>
                </c:pt>
                <c:pt idx="8" formatCode="#,##0">
                  <c:v>1684</c:v>
                </c:pt>
                <c:pt idx="9" formatCode="#,##0">
                  <c:v>2342</c:v>
                </c:pt>
                <c:pt idx="10" formatCode="#,##0">
                  <c:v>2380</c:v>
                </c:pt>
                <c:pt idx="11" formatCode="#,##0">
                  <c:v>2871</c:v>
                </c:pt>
                <c:pt idx="12" formatCode="#,##0">
                  <c:v>4233</c:v>
                </c:pt>
                <c:pt idx="13" formatCode="#,##0">
                  <c:v>4898</c:v>
                </c:pt>
                <c:pt idx="14" formatCode="#,##0">
                  <c:v>4943</c:v>
                </c:pt>
                <c:pt idx="15" formatCode="#,##0">
                  <c:v>4944</c:v>
                </c:pt>
                <c:pt idx="16" formatCode="#,##0">
                  <c:v>5659</c:v>
                </c:pt>
                <c:pt idx="17" formatCode="#,##0">
                  <c:v>6809</c:v>
                </c:pt>
                <c:pt idx="18" formatCode="#,##0">
                  <c:v>6420</c:v>
                </c:pt>
                <c:pt idx="19" formatCode="#,##0">
                  <c:v>7544</c:v>
                </c:pt>
                <c:pt idx="20" formatCode="#,##0">
                  <c:v>7407</c:v>
                </c:pt>
                <c:pt idx="21" formatCode="#,##0">
                  <c:v>7941</c:v>
                </c:pt>
                <c:pt idx="22" formatCode="#,##0">
                  <c:v>6624</c:v>
                </c:pt>
                <c:pt idx="23" formatCode="#,##0">
                  <c:v>6184</c:v>
                </c:pt>
                <c:pt idx="24" formatCode="#,##0">
                  <c:v>5445</c:v>
                </c:pt>
                <c:pt idx="25" formatCode="#,##0">
                  <c:v>5584</c:v>
                </c:pt>
                <c:pt idx="26" formatCode="#,##0">
                  <c:v>5453</c:v>
                </c:pt>
                <c:pt idx="27" formatCode="#,##0">
                  <c:v>5024</c:v>
                </c:pt>
                <c:pt idx="28" formatCode="#,##0">
                  <c:v>3831</c:v>
                </c:pt>
                <c:pt idx="29" formatCode="#,##0">
                  <c:v>2963</c:v>
                </c:pt>
                <c:pt idx="30" formatCode="#,##0">
                  <c:v>3712</c:v>
                </c:pt>
                <c:pt idx="31" formatCode="#,##0">
                  <c:v>2419</c:v>
                </c:pt>
                <c:pt idx="32" formatCode="#,##0">
                  <c:v>1559</c:v>
                </c:pt>
                <c:pt idx="33" formatCode="#,##0">
                  <c:v>1468</c:v>
                </c:pt>
                <c:pt idx="34" formatCode="#,##0">
                  <c:v>1079</c:v>
                </c:pt>
                <c:pt idx="35" formatCode="#,##0">
                  <c:v>1123</c:v>
                </c:pt>
                <c:pt idx="36" formatCode="#,##0">
                  <c:v>1023</c:v>
                </c:pt>
                <c:pt idx="37">
                  <c:v>998</c:v>
                </c:pt>
                <c:pt idx="38">
                  <c:v>684</c:v>
                </c:pt>
                <c:pt idx="39">
                  <c:v>769</c:v>
                </c:pt>
                <c:pt idx="40">
                  <c:v>710</c:v>
                </c:pt>
                <c:pt idx="41">
                  <c:v>710</c:v>
                </c:pt>
                <c:pt idx="42">
                  <c:v>749</c:v>
                </c:pt>
                <c:pt idx="43">
                  <c:v>791</c:v>
                </c:pt>
                <c:pt idx="44">
                  <c:v>716</c:v>
                </c:pt>
                <c:pt idx="45">
                  <c:v>773</c:v>
                </c:pt>
                <c:pt idx="46">
                  <c:v>704</c:v>
                </c:pt>
                <c:pt idx="47">
                  <c:v>556</c:v>
                </c:pt>
                <c:pt idx="48">
                  <c:v>225</c:v>
                </c:pt>
                <c:pt idx="49">
                  <c:v>748</c:v>
                </c:pt>
                <c:pt idx="50">
                  <c:v>594</c:v>
                </c:pt>
                <c:pt idx="51">
                  <c:v>700</c:v>
                </c:pt>
                <c:pt idx="52">
                  <c:v>519</c:v>
                </c:pt>
                <c:pt idx="53">
                  <c:v>761</c:v>
                </c:pt>
                <c:pt idx="54">
                  <c:v>742</c:v>
                </c:pt>
                <c:pt idx="55">
                  <c:v>577</c:v>
                </c:pt>
                <c:pt idx="56">
                  <c:v>697</c:v>
                </c:pt>
                <c:pt idx="57" formatCode="#,##0">
                  <c:v>1127</c:v>
                </c:pt>
                <c:pt idx="58" formatCode="#,##0">
                  <c:v>1028</c:v>
                </c:pt>
                <c:pt idx="59">
                  <c:v>969</c:v>
                </c:pt>
              </c:numCache>
            </c:numRef>
          </c:val>
          <c:smooth val="0"/>
          <c:extLst>
            <c:ext xmlns:c16="http://schemas.microsoft.com/office/drawing/2014/chart" uri="{C3380CC4-5D6E-409C-BE32-E72D297353CC}">
              <c16:uniqueId val="{00000002-2CE2-4931-9685-A983D45698DA}"/>
            </c:ext>
          </c:extLst>
        </c:ser>
        <c:dLbls>
          <c:showLegendKey val="0"/>
          <c:showVal val="0"/>
          <c:showCatName val="0"/>
          <c:showSerName val="0"/>
          <c:showPercent val="0"/>
          <c:showBubbleSize val="0"/>
        </c:dLbls>
        <c:marker val="1"/>
        <c:smooth val="0"/>
        <c:axId val="340171616"/>
        <c:axId val="340170632"/>
      </c:lineChart>
      <c:dateAx>
        <c:axId val="227364320"/>
        <c:scaling>
          <c:orientation val="minMax"/>
          <c:min val="43556"/>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356776"/>
        <c:crosses val="autoZero"/>
        <c:auto val="1"/>
        <c:lblOffset val="100"/>
        <c:baseTimeUnit val="months"/>
      </c:dateAx>
      <c:valAx>
        <c:axId val="227356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pages accessed per month</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364320"/>
        <c:crosses val="autoZero"/>
        <c:crossBetween val="between"/>
      </c:valAx>
      <c:valAx>
        <c:axId val="340170632"/>
        <c:scaling>
          <c:orientation val="minMax"/>
          <c:max val="200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unique visitors and visits per month</a:t>
                </a:r>
              </a:p>
            </c:rich>
          </c:tx>
          <c:layout>
            <c:manualLayout>
              <c:xMode val="edge"/>
              <c:yMode val="edge"/>
              <c:x val="0.92543129011528424"/>
              <c:y val="4.191560633178723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0171616"/>
        <c:crosses val="max"/>
        <c:crossBetween val="between"/>
      </c:valAx>
      <c:dateAx>
        <c:axId val="340171616"/>
        <c:scaling>
          <c:orientation val="minMax"/>
        </c:scaling>
        <c:delete val="1"/>
        <c:axPos val="b"/>
        <c:numFmt formatCode="mmm\-yy" sourceLinked="1"/>
        <c:majorTickMark val="out"/>
        <c:minorTickMark val="none"/>
        <c:tickLblPos val="nextTo"/>
        <c:crossAx val="340170632"/>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87757048386971"/>
          <c:y val="5.1020408163265307E-2"/>
          <c:w val="0.37067398106768185"/>
          <c:h val="0.73528114180532633"/>
        </c:manualLayout>
      </c:layout>
      <c:barChart>
        <c:barDir val="col"/>
        <c:grouping val="stacked"/>
        <c:varyColors val="0"/>
        <c:ser>
          <c:idx val="0"/>
          <c:order val="0"/>
          <c:tx>
            <c:strRef>
              <c:f>'[Chart in Microsoft Word]Sheet1'!$B$1</c:f>
              <c:strCache>
                <c:ptCount val="1"/>
                <c:pt idx="0">
                  <c:v>England</c:v>
                </c:pt>
              </c:strCache>
            </c:strRef>
          </c:tx>
          <c:spPr>
            <a:solidFill>
              <a:schemeClr val="accent1"/>
            </a:solidFill>
            <a:ln>
              <a:noFill/>
            </a:ln>
            <a:effectLst/>
          </c:spPr>
          <c:invertIfNegative val="0"/>
          <c:dPt>
            <c:idx val="0"/>
            <c:invertIfNegative val="0"/>
            <c:bubble3D val="0"/>
            <c:spPr>
              <a:pattFill prst="narHorz">
                <a:fgClr>
                  <a:schemeClr val="accent1"/>
                </a:fgClr>
                <a:bgClr>
                  <a:schemeClr val="bg1"/>
                </a:bgClr>
              </a:pattFill>
              <a:ln>
                <a:noFill/>
              </a:ln>
              <a:effectLst/>
            </c:spPr>
            <c:extLst>
              <c:ext xmlns:c16="http://schemas.microsoft.com/office/drawing/2014/chart" uri="{C3380CC4-5D6E-409C-BE32-E72D297353CC}">
                <c16:uniqueId val="{00000001-88EE-4879-BA79-DCDDB7C6E81D}"/>
              </c:ext>
            </c:extLst>
          </c:dPt>
          <c:cat>
            <c:numRef>
              <c:f>'[Chart in Microsoft Word]Sheet1'!$A$2:$A$3</c:f>
              <c:numCache>
                <c:formatCode>General</c:formatCode>
                <c:ptCount val="2"/>
                <c:pt idx="0">
                  <c:v>2020</c:v>
                </c:pt>
                <c:pt idx="1">
                  <c:v>2021</c:v>
                </c:pt>
              </c:numCache>
            </c:numRef>
          </c:cat>
          <c:val>
            <c:numRef>
              <c:f>'[Chart in Microsoft Word]Sheet1'!$B$2:$B$3</c:f>
              <c:numCache>
                <c:formatCode>General</c:formatCode>
                <c:ptCount val="2"/>
                <c:pt idx="0">
                  <c:v>42</c:v>
                </c:pt>
                <c:pt idx="1">
                  <c:v>44</c:v>
                </c:pt>
              </c:numCache>
            </c:numRef>
          </c:val>
          <c:extLst>
            <c:ext xmlns:c16="http://schemas.microsoft.com/office/drawing/2014/chart" uri="{C3380CC4-5D6E-409C-BE32-E72D297353CC}">
              <c16:uniqueId val="{00000002-88EE-4879-BA79-DCDDB7C6E81D}"/>
            </c:ext>
          </c:extLst>
        </c:ser>
        <c:ser>
          <c:idx val="1"/>
          <c:order val="1"/>
          <c:tx>
            <c:strRef>
              <c:f>'[Chart in Microsoft Word]Sheet1'!$C$1</c:f>
              <c:strCache>
                <c:ptCount val="1"/>
                <c:pt idx="0">
                  <c:v>Northern Ireland</c:v>
                </c:pt>
              </c:strCache>
            </c:strRef>
          </c:tx>
          <c:spPr>
            <a:solidFill>
              <a:srgbClr val="FF9900"/>
            </a:solidFill>
            <a:ln>
              <a:noFill/>
            </a:ln>
            <a:effectLst/>
          </c:spPr>
          <c:invertIfNegative val="0"/>
          <c:dPt>
            <c:idx val="0"/>
            <c:invertIfNegative val="0"/>
            <c:bubble3D val="0"/>
            <c:spPr>
              <a:pattFill prst="ltHorz">
                <a:fgClr>
                  <a:srgbClr val="FF9900"/>
                </a:fgClr>
                <a:bgClr>
                  <a:schemeClr val="bg1"/>
                </a:bgClr>
              </a:pattFill>
              <a:ln>
                <a:noFill/>
              </a:ln>
              <a:effectLst/>
            </c:spPr>
            <c:extLst>
              <c:ext xmlns:c16="http://schemas.microsoft.com/office/drawing/2014/chart" uri="{C3380CC4-5D6E-409C-BE32-E72D297353CC}">
                <c16:uniqueId val="{00000004-88EE-4879-BA79-DCDDB7C6E81D}"/>
              </c:ext>
            </c:extLst>
          </c:dPt>
          <c:cat>
            <c:numRef>
              <c:f>'[Chart in Microsoft Word]Sheet1'!$A$2:$A$3</c:f>
              <c:numCache>
                <c:formatCode>General</c:formatCode>
                <c:ptCount val="2"/>
                <c:pt idx="0">
                  <c:v>2020</c:v>
                </c:pt>
                <c:pt idx="1">
                  <c:v>2021</c:v>
                </c:pt>
              </c:numCache>
            </c:numRef>
          </c:cat>
          <c:val>
            <c:numRef>
              <c:f>'[Chart in Microsoft Word]Sheet1'!$C$2:$C$3</c:f>
              <c:numCache>
                <c:formatCode>General</c:formatCode>
                <c:ptCount val="2"/>
                <c:pt idx="0">
                  <c:v>2</c:v>
                </c:pt>
                <c:pt idx="1">
                  <c:v>2</c:v>
                </c:pt>
              </c:numCache>
            </c:numRef>
          </c:val>
          <c:extLst>
            <c:ext xmlns:c16="http://schemas.microsoft.com/office/drawing/2014/chart" uri="{C3380CC4-5D6E-409C-BE32-E72D297353CC}">
              <c16:uniqueId val="{00000005-88EE-4879-BA79-DCDDB7C6E81D}"/>
            </c:ext>
          </c:extLst>
        </c:ser>
        <c:ser>
          <c:idx val="2"/>
          <c:order val="2"/>
          <c:tx>
            <c:strRef>
              <c:f>'[Chart in Microsoft Word]Sheet1'!$D$1</c:f>
              <c:strCache>
                <c:ptCount val="1"/>
                <c:pt idx="0">
                  <c:v>Scotland </c:v>
                </c:pt>
              </c:strCache>
            </c:strRef>
          </c:tx>
          <c:spPr>
            <a:solidFill>
              <a:schemeClr val="accent3"/>
            </a:solidFill>
            <a:ln>
              <a:noFill/>
            </a:ln>
            <a:effectLst/>
          </c:spPr>
          <c:invertIfNegative val="0"/>
          <c:dPt>
            <c:idx val="0"/>
            <c:invertIfNegative val="0"/>
            <c:bubble3D val="0"/>
            <c:spPr>
              <a:pattFill prst="narHorz">
                <a:fgClr>
                  <a:schemeClr val="accent3"/>
                </a:fgClr>
                <a:bgClr>
                  <a:schemeClr val="bg1"/>
                </a:bgClr>
              </a:pattFill>
              <a:ln>
                <a:noFill/>
              </a:ln>
              <a:effectLst/>
            </c:spPr>
            <c:extLst>
              <c:ext xmlns:c16="http://schemas.microsoft.com/office/drawing/2014/chart" uri="{C3380CC4-5D6E-409C-BE32-E72D297353CC}">
                <c16:uniqueId val="{00000007-88EE-4879-BA79-DCDDB7C6E81D}"/>
              </c:ext>
            </c:extLst>
          </c:dPt>
          <c:cat>
            <c:numRef>
              <c:f>'[Chart in Microsoft Word]Sheet1'!$A$2:$A$3</c:f>
              <c:numCache>
                <c:formatCode>General</c:formatCode>
                <c:ptCount val="2"/>
                <c:pt idx="0">
                  <c:v>2020</c:v>
                </c:pt>
                <c:pt idx="1">
                  <c:v>2021</c:v>
                </c:pt>
              </c:numCache>
            </c:numRef>
          </c:cat>
          <c:val>
            <c:numRef>
              <c:f>'[Chart in Microsoft Word]Sheet1'!$D$2:$D$3</c:f>
              <c:numCache>
                <c:formatCode>General</c:formatCode>
                <c:ptCount val="2"/>
                <c:pt idx="0">
                  <c:v>10</c:v>
                </c:pt>
                <c:pt idx="1">
                  <c:v>10</c:v>
                </c:pt>
              </c:numCache>
            </c:numRef>
          </c:val>
          <c:extLst>
            <c:ext xmlns:c16="http://schemas.microsoft.com/office/drawing/2014/chart" uri="{C3380CC4-5D6E-409C-BE32-E72D297353CC}">
              <c16:uniqueId val="{00000008-88EE-4879-BA79-DCDDB7C6E81D}"/>
            </c:ext>
          </c:extLst>
        </c:ser>
        <c:ser>
          <c:idx val="3"/>
          <c:order val="3"/>
          <c:tx>
            <c:strRef>
              <c:f>'[Chart in Microsoft Word]Sheet1'!$E$1</c:f>
              <c:strCache>
                <c:ptCount val="1"/>
                <c:pt idx="0">
                  <c:v>Wales</c:v>
                </c:pt>
              </c:strCache>
            </c:strRef>
          </c:tx>
          <c:spPr>
            <a:solidFill>
              <a:srgbClr val="2C02DE"/>
            </a:solidFill>
            <a:ln>
              <a:noFill/>
            </a:ln>
            <a:effectLst/>
          </c:spPr>
          <c:invertIfNegative val="0"/>
          <c:dPt>
            <c:idx val="0"/>
            <c:invertIfNegative val="0"/>
            <c:bubble3D val="0"/>
            <c:spPr>
              <a:pattFill prst="ltHorz">
                <a:fgClr>
                  <a:srgbClr val="2C02DE"/>
                </a:fgClr>
                <a:bgClr>
                  <a:schemeClr val="bg1"/>
                </a:bgClr>
              </a:pattFill>
              <a:ln>
                <a:noFill/>
              </a:ln>
              <a:effectLst/>
            </c:spPr>
            <c:extLst>
              <c:ext xmlns:c16="http://schemas.microsoft.com/office/drawing/2014/chart" uri="{C3380CC4-5D6E-409C-BE32-E72D297353CC}">
                <c16:uniqueId val="{0000000A-88EE-4879-BA79-DCDDB7C6E81D}"/>
              </c:ext>
            </c:extLst>
          </c:dPt>
          <c:cat>
            <c:numRef>
              <c:f>'[Chart in Microsoft Word]Sheet1'!$A$2:$A$3</c:f>
              <c:numCache>
                <c:formatCode>General</c:formatCode>
                <c:ptCount val="2"/>
                <c:pt idx="0">
                  <c:v>2020</c:v>
                </c:pt>
                <c:pt idx="1">
                  <c:v>2021</c:v>
                </c:pt>
              </c:numCache>
            </c:numRef>
          </c:cat>
          <c:val>
            <c:numRef>
              <c:f>'[Chart in Microsoft Word]Sheet1'!$E$2:$E$3</c:f>
              <c:numCache>
                <c:formatCode>General</c:formatCode>
                <c:ptCount val="2"/>
                <c:pt idx="0">
                  <c:v>3</c:v>
                </c:pt>
                <c:pt idx="1">
                  <c:v>3</c:v>
                </c:pt>
              </c:numCache>
            </c:numRef>
          </c:val>
          <c:extLst>
            <c:ext xmlns:c16="http://schemas.microsoft.com/office/drawing/2014/chart" uri="{C3380CC4-5D6E-409C-BE32-E72D297353CC}">
              <c16:uniqueId val="{0000000B-88EE-4879-BA79-DCDDB7C6E81D}"/>
            </c:ext>
          </c:extLst>
        </c:ser>
        <c:dLbls>
          <c:showLegendKey val="0"/>
          <c:showVal val="0"/>
          <c:showCatName val="0"/>
          <c:showSerName val="0"/>
          <c:showPercent val="0"/>
          <c:showBubbleSize val="0"/>
        </c:dLbls>
        <c:gapWidth val="150"/>
        <c:overlap val="100"/>
        <c:axId val="628442943"/>
        <c:axId val="939897535"/>
      </c:barChart>
      <c:catAx>
        <c:axId val="628442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9897535"/>
        <c:crosses val="autoZero"/>
        <c:auto val="1"/>
        <c:lblAlgn val="ctr"/>
        <c:lblOffset val="100"/>
        <c:noMultiLvlLbl val="0"/>
      </c:catAx>
      <c:valAx>
        <c:axId val="939897535"/>
        <c:scaling>
          <c:orientation val="minMax"/>
          <c:max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partners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8442943"/>
        <c:crosses val="autoZero"/>
        <c:crossBetween val="between"/>
      </c:valAx>
      <c:spPr>
        <a:noFill/>
        <a:ln>
          <a:noFill/>
        </a:ln>
        <a:effectLst/>
      </c:spPr>
    </c:plotArea>
    <c:legend>
      <c:legendPos val="b"/>
      <c:layout>
        <c:manualLayout>
          <c:xMode val="edge"/>
          <c:yMode val="edge"/>
          <c:x val="0.63907151245733917"/>
          <c:y val="6.9953836939213768E-2"/>
          <c:w val="0.3013864257958746"/>
          <c:h val="0.865162583843686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775935902748998"/>
          <c:y val="4.485209619067887E-2"/>
          <c:w val="0.51629886724685725"/>
          <c:h val="0.81515742964561866"/>
        </c:manualLayout>
      </c:layout>
      <c:barChart>
        <c:barDir val="col"/>
        <c:grouping val="stacked"/>
        <c:varyColors val="0"/>
        <c:ser>
          <c:idx val="0"/>
          <c:order val="0"/>
          <c:tx>
            <c:strRef>
              <c:f>Sheet1!$B$1</c:f>
              <c:strCache>
                <c:ptCount val="1"/>
                <c:pt idx="0">
                  <c:v>MEDIN Portal</c:v>
                </c:pt>
              </c:strCache>
            </c:strRef>
          </c:tx>
          <c:spPr>
            <a:solidFill>
              <a:schemeClr val="accent1"/>
            </a:solidFill>
            <a:ln>
              <a:noFill/>
            </a:ln>
            <a:effectLst/>
          </c:spPr>
          <c:invertIfNegative val="0"/>
          <c:dPt>
            <c:idx val="0"/>
            <c:invertIfNegative val="0"/>
            <c:bubble3D val="0"/>
            <c:spPr>
              <a:pattFill prst="narHorz">
                <a:fgClr>
                  <a:schemeClr val="accent1"/>
                </a:fgClr>
                <a:bgClr>
                  <a:schemeClr val="bg1"/>
                </a:bgClr>
              </a:pattFill>
              <a:ln>
                <a:noFill/>
              </a:ln>
              <a:effectLst/>
            </c:spPr>
            <c:extLst>
              <c:ext xmlns:c16="http://schemas.microsoft.com/office/drawing/2014/chart" uri="{C3380CC4-5D6E-409C-BE32-E72D297353CC}">
                <c16:uniqueId val="{00000001-6039-4214-8DBE-39C43A2DE39E}"/>
              </c:ext>
            </c:extLst>
          </c:dPt>
          <c:cat>
            <c:numRef>
              <c:f>Sheet1!$A$2:$A$3</c:f>
              <c:numCache>
                <c:formatCode>General</c:formatCode>
                <c:ptCount val="2"/>
                <c:pt idx="0">
                  <c:v>2020</c:v>
                </c:pt>
                <c:pt idx="1">
                  <c:v>2021</c:v>
                </c:pt>
              </c:numCache>
            </c:numRef>
          </c:cat>
          <c:val>
            <c:numRef>
              <c:f>Sheet1!$B$2:$B$3</c:f>
              <c:numCache>
                <c:formatCode>General</c:formatCode>
                <c:ptCount val="2"/>
                <c:pt idx="0">
                  <c:v>1664</c:v>
                </c:pt>
                <c:pt idx="1">
                  <c:v>1014</c:v>
                </c:pt>
              </c:numCache>
            </c:numRef>
          </c:val>
          <c:extLst>
            <c:ext xmlns:c16="http://schemas.microsoft.com/office/drawing/2014/chart" uri="{C3380CC4-5D6E-409C-BE32-E72D297353CC}">
              <c16:uniqueId val="{00000002-6039-4214-8DBE-39C43A2DE39E}"/>
            </c:ext>
          </c:extLst>
        </c:ser>
        <c:ser>
          <c:idx val="1"/>
          <c:order val="1"/>
          <c:tx>
            <c:strRef>
              <c:f>Sheet1!$C$1</c:f>
              <c:strCache>
                <c:ptCount val="1"/>
                <c:pt idx="0">
                  <c:v>Metadata standard</c:v>
                </c:pt>
              </c:strCache>
            </c:strRef>
          </c:tx>
          <c:spPr>
            <a:solidFill>
              <a:srgbClr val="FF9900"/>
            </a:solidFill>
            <a:ln>
              <a:noFill/>
            </a:ln>
            <a:effectLst/>
          </c:spPr>
          <c:invertIfNegative val="0"/>
          <c:dPt>
            <c:idx val="0"/>
            <c:invertIfNegative val="0"/>
            <c:bubble3D val="0"/>
            <c:spPr>
              <a:pattFill prst="ltHorz">
                <a:fgClr>
                  <a:srgbClr val="FF9900"/>
                </a:fgClr>
                <a:bgClr>
                  <a:schemeClr val="bg1"/>
                </a:bgClr>
              </a:pattFill>
              <a:ln>
                <a:noFill/>
              </a:ln>
              <a:effectLst/>
            </c:spPr>
            <c:extLst>
              <c:ext xmlns:c16="http://schemas.microsoft.com/office/drawing/2014/chart" uri="{C3380CC4-5D6E-409C-BE32-E72D297353CC}">
                <c16:uniqueId val="{00000004-6039-4214-8DBE-39C43A2DE39E}"/>
              </c:ext>
            </c:extLst>
          </c:dPt>
          <c:cat>
            <c:numRef>
              <c:f>Sheet1!$A$2:$A$3</c:f>
              <c:numCache>
                <c:formatCode>General</c:formatCode>
                <c:ptCount val="2"/>
                <c:pt idx="0">
                  <c:v>2020</c:v>
                </c:pt>
                <c:pt idx="1">
                  <c:v>2021</c:v>
                </c:pt>
              </c:numCache>
            </c:numRef>
          </c:cat>
          <c:val>
            <c:numRef>
              <c:f>Sheet1!$C$2:$C$3</c:f>
              <c:numCache>
                <c:formatCode>General</c:formatCode>
                <c:ptCount val="2"/>
                <c:pt idx="0">
                  <c:v>818</c:v>
                </c:pt>
                <c:pt idx="1">
                  <c:v>521</c:v>
                </c:pt>
              </c:numCache>
            </c:numRef>
          </c:val>
          <c:extLst>
            <c:ext xmlns:c16="http://schemas.microsoft.com/office/drawing/2014/chart" uri="{C3380CC4-5D6E-409C-BE32-E72D297353CC}">
              <c16:uniqueId val="{00000005-6039-4214-8DBE-39C43A2DE39E}"/>
            </c:ext>
          </c:extLst>
        </c:ser>
        <c:ser>
          <c:idx val="2"/>
          <c:order val="2"/>
          <c:tx>
            <c:strRef>
              <c:f>Sheet1!$D$1</c:f>
              <c:strCache>
                <c:ptCount val="1"/>
                <c:pt idx="0">
                  <c:v>Data guidelines</c:v>
                </c:pt>
              </c:strCache>
            </c:strRef>
          </c:tx>
          <c:spPr>
            <a:solidFill>
              <a:schemeClr val="accent3"/>
            </a:solidFill>
            <a:ln>
              <a:noFill/>
            </a:ln>
            <a:effectLst/>
          </c:spPr>
          <c:invertIfNegative val="0"/>
          <c:dPt>
            <c:idx val="0"/>
            <c:invertIfNegative val="0"/>
            <c:bubble3D val="0"/>
            <c:spPr>
              <a:pattFill prst="narHorz">
                <a:fgClr>
                  <a:schemeClr val="accent3"/>
                </a:fgClr>
                <a:bgClr>
                  <a:schemeClr val="bg1"/>
                </a:bgClr>
              </a:pattFill>
              <a:ln>
                <a:noFill/>
              </a:ln>
              <a:effectLst/>
            </c:spPr>
            <c:extLst>
              <c:ext xmlns:c16="http://schemas.microsoft.com/office/drawing/2014/chart" uri="{C3380CC4-5D6E-409C-BE32-E72D297353CC}">
                <c16:uniqueId val="{00000007-6039-4214-8DBE-39C43A2DE39E}"/>
              </c:ext>
            </c:extLst>
          </c:dPt>
          <c:cat>
            <c:numRef>
              <c:f>Sheet1!$A$2:$A$3</c:f>
              <c:numCache>
                <c:formatCode>General</c:formatCode>
                <c:ptCount val="2"/>
                <c:pt idx="0">
                  <c:v>2020</c:v>
                </c:pt>
                <c:pt idx="1">
                  <c:v>2021</c:v>
                </c:pt>
              </c:numCache>
            </c:numRef>
          </c:cat>
          <c:val>
            <c:numRef>
              <c:f>Sheet1!$D$2:$D$3</c:f>
              <c:numCache>
                <c:formatCode>General</c:formatCode>
                <c:ptCount val="2"/>
                <c:pt idx="0">
                  <c:v>1159</c:v>
                </c:pt>
                <c:pt idx="1">
                  <c:v>799</c:v>
                </c:pt>
              </c:numCache>
            </c:numRef>
          </c:val>
          <c:extLst>
            <c:ext xmlns:c16="http://schemas.microsoft.com/office/drawing/2014/chart" uri="{C3380CC4-5D6E-409C-BE32-E72D297353CC}">
              <c16:uniqueId val="{00000008-6039-4214-8DBE-39C43A2DE39E}"/>
            </c:ext>
          </c:extLst>
        </c:ser>
        <c:dLbls>
          <c:showLegendKey val="0"/>
          <c:showVal val="0"/>
          <c:showCatName val="0"/>
          <c:showSerName val="0"/>
          <c:showPercent val="0"/>
          <c:showBubbleSize val="0"/>
        </c:dLbls>
        <c:gapWidth val="219"/>
        <c:overlap val="100"/>
        <c:axId val="1491741967"/>
        <c:axId val="1493262447"/>
      </c:barChart>
      <c:catAx>
        <c:axId val="1491741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3262447"/>
        <c:crosses val="autoZero"/>
        <c:auto val="1"/>
        <c:lblAlgn val="ctr"/>
        <c:lblOffset val="100"/>
        <c:noMultiLvlLbl val="0"/>
      </c:catAx>
      <c:valAx>
        <c:axId val="14932624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users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1741967"/>
        <c:crosses val="autoZero"/>
        <c:crossBetween val="between"/>
      </c:valAx>
      <c:spPr>
        <a:noFill/>
        <a:ln>
          <a:noFill/>
        </a:ln>
        <a:effectLst/>
      </c:spPr>
    </c:plotArea>
    <c:legend>
      <c:legendPos val="r"/>
      <c:layout>
        <c:manualLayout>
          <c:xMode val="edge"/>
          <c:yMode val="edge"/>
          <c:x val="0.71845696919464019"/>
          <c:y val="0.26077382568558238"/>
          <c:w val="0.25522724133167562"/>
          <c:h val="0.478452348628835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155693304294409"/>
          <c:y val="6.3492063492063489E-2"/>
          <c:w val="0.47828095956090594"/>
          <c:h val="0.8095669291338583"/>
        </c:manualLayout>
      </c:layout>
      <c:barChart>
        <c:barDir val="col"/>
        <c:grouping val="clustered"/>
        <c:varyColors val="0"/>
        <c:ser>
          <c:idx val="0"/>
          <c:order val="0"/>
          <c:tx>
            <c:strRef>
              <c:f>Sheet1!$B$1</c:f>
              <c:strCache>
                <c:ptCount val="1"/>
                <c:pt idx="0">
                  <c:v>From a MEDIN Data Archive Centre</c:v>
                </c:pt>
              </c:strCache>
            </c:strRef>
          </c:tx>
          <c:spPr>
            <a:solidFill>
              <a:schemeClr val="accent1"/>
            </a:solidFill>
            <a:ln>
              <a:noFill/>
            </a:ln>
            <a:effectLst/>
          </c:spPr>
          <c:invertIfNegative val="0"/>
          <c:dPt>
            <c:idx val="0"/>
            <c:invertIfNegative val="0"/>
            <c:bubble3D val="0"/>
            <c:spPr>
              <a:pattFill prst="narVert">
                <a:fgClr>
                  <a:schemeClr val="accent1"/>
                </a:fgClr>
                <a:bgClr>
                  <a:schemeClr val="bg1"/>
                </a:bgClr>
              </a:pattFill>
              <a:ln>
                <a:noFill/>
              </a:ln>
              <a:effectLst/>
            </c:spPr>
            <c:extLst>
              <c:ext xmlns:c16="http://schemas.microsoft.com/office/drawing/2014/chart" uri="{C3380CC4-5D6E-409C-BE32-E72D297353CC}">
                <c16:uniqueId val="{00000001-6AC4-480B-BCB6-A1C496CC81F5}"/>
              </c:ext>
            </c:extLst>
          </c:dPt>
          <c:dPt>
            <c:idx val="1"/>
            <c:invertIfNegative val="0"/>
            <c:bubble3D val="0"/>
            <c:spPr>
              <a:pattFill prst="narVert">
                <a:fgClr>
                  <a:srgbClr val="FF9900"/>
                </a:fgClr>
                <a:bgClr>
                  <a:schemeClr val="bg1"/>
                </a:bgClr>
              </a:pattFill>
              <a:ln>
                <a:noFill/>
              </a:ln>
              <a:effectLst/>
            </c:spPr>
            <c:extLst>
              <c:ext xmlns:c16="http://schemas.microsoft.com/office/drawing/2014/chart" uri="{C3380CC4-5D6E-409C-BE32-E72D297353CC}">
                <c16:uniqueId val="{00000003-6AC4-480B-BCB6-A1C496CC81F5}"/>
              </c:ext>
            </c:extLst>
          </c:dPt>
          <c:dPt>
            <c:idx val="2"/>
            <c:invertIfNegative val="0"/>
            <c:bubble3D val="0"/>
            <c:spPr>
              <a:pattFill prst="narVert">
                <a:fgClr>
                  <a:schemeClr val="accent3"/>
                </a:fgClr>
                <a:bgClr>
                  <a:schemeClr val="bg1"/>
                </a:bgClr>
              </a:pattFill>
              <a:ln>
                <a:noFill/>
              </a:ln>
              <a:effectLst/>
            </c:spPr>
            <c:extLst>
              <c:ext xmlns:c16="http://schemas.microsoft.com/office/drawing/2014/chart" uri="{C3380CC4-5D6E-409C-BE32-E72D297353CC}">
                <c16:uniqueId val="{00000005-6AC4-480B-BCB6-A1C496CC81F5}"/>
              </c:ext>
            </c:extLst>
          </c:dPt>
          <c:dPt>
            <c:idx val="3"/>
            <c:invertIfNegative val="0"/>
            <c:bubble3D val="0"/>
            <c:spPr>
              <a:pattFill prst="narVert">
                <a:fgClr>
                  <a:srgbClr val="2C02DE"/>
                </a:fgClr>
                <a:bgClr>
                  <a:schemeClr val="bg1"/>
                </a:bgClr>
              </a:pattFill>
              <a:ln>
                <a:noFill/>
              </a:ln>
              <a:effectLst/>
            </c:spPr>
            <c:extLst>
              <c:ext xmlns:c16="http://schemas.microsoft.com/office/drawing/2014/chart" uri="{C3380CC4-5D6E-409C-BE32-E72D297353CC}">
                <c16:uniqueId val="{00000007-6AC4-480B-BCB6-A1C496CC81F5}"/>
              </c:ext>
            </c:extLst>
          </c:dPt>
          <c:cat>
            <c:strRef>
              <c:f>Sheet1!$A$6:$A$9</c:f>
              <c:strCache>
                <c:ptCount val="4"/>
                <c:pt idx="0">
                  <c:v>From a MEDIN Data Archive Centre</c:v>
                </c:pt>
                <c:pt idx="1">
                  <c:v>Online access to data</c:v>
                </c:pt>
                <c:pt idx="2">
                  <c:v>Data available within "2 clicks" </c:v>
                </c:pt>
                <c:pt idx="3">
                  <c:v>Accessible using Digital Object Identifiers (DOI)</c:v>
                </c:pt>
              </c:strCache>
            </c:strRef>
          </c:cat>
          <c:val>
            <c:numRef>
              <c:f>Sheet1!$B$6:$B$9</c:f>
              <c:numCache>
                <c:formatCode>General</c:formatCode>
                <c:ptCount val="4"/>
                <c:pt idx="0">
                  <c:v>63.896774193548389</c:v>
                </c:pt>
                <c:pt idx="1">
                  <c:v>61.451612903225808</c:v>
                </c:pt>
                <c:pt idx="2">
                  <c:v>25.245161290322581</c:v>
                </c:pt>
                <c:pt idx="3">
                  <c:v>1.2193548387096773</c:v>
                </c:pt>
              </c:numCache>
            </c:numRef>
          </c:val>
          <c:extLst>
            <c:ext xmlns:c16="http://schemas.microsoft.com/office/drawing/2014/chart" uri="{C3380CC4-5D6E-409C-BE32-E72D297353CC}">
              <c16:uniqueId val="{00000008-6AC4-480B-BCB6-A1C496CC81F5}"/>
            </c:ext>
          </c:extLst>
        </c:ser>
        <c:ser>
          <c:idx val="1"/>
          <c:order val="1"/>
          <c:tx>
            <c:strRef>
              <c:f>Sheet1!$C$1</c:f>
              <c:strCache>
                <c:ptCount val="1"/>
                <c:pt idx="0">
                  <c:v>Online access to data</c:v>
                </c:pt>
              </c:strCache>
            </c:strRef>
          </c:tx>
          <c:spPr>
            <a:solidFill>
              <a:srgbClr val="FF9900"/>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A-6AC4-480B-BCB6-A1C496CC81F5}"/>
              </c:ext>
            </c:extLst>
          </c:dPt>
          <c:dPt>
            <c:idx val="1"/>
            <c:invertIfNegative val="0"/>
            <c:bubble3D val="0"/>
            <c:spPr>
              <a:solidFill>
                <a:srgbClr val="FF9900"/>
              </a:solidFill>
              <a:ln>
                <a:noFill/>
              </a:ln>
              <a:effectLst/>
            </c:spPr>
            <c:extLst>
              <c:ext xmlns:c16="http://schemas.microsoft.com/office/drawing/2014/chart" uri="{C3380CC4-5D6E-409C-BE32-E72D297353CC}">
                <c16:uniqueId val="{0000000A-267E-446D-A7B0-E36843E4BC76}"/>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E-E770-4B26-8D58-B7AB7AD86501}"/>
              </c:ext>
            </c:extLst>
          </c:dPt>
          <c:dPt>
            <c:idx val="3"/>
            <c:invertIfNegative val="0"/>
            <c:bubble3D val="0"/>
            <c:spPr>
              <a:solidFill>
                <a:srgbClr val="2C02DE"/>
              </a:solidFill>
              <a:ln>
                <a:noFill/>
              </a:ln>
              <a:effectLst/>
            </c:spPr>
            <c:extLst>
              <c:ext xmlns:c16="http://schemas.microsoft.com/office/drawing/2014/chart" uri="{C3380CC4-5D6E-409C-BE32-E72D297353CC}">
                <c16:uniqueId val="{0000000B-267E-446D-A7B0-E36843E4BC76}"/>
              </c:ext>
            </c:extLst>
          </c:dPt>
          <c:cat>
            <c:strRef>
              <c:f>Sheet1!$A$6:$A$9</c:f>
              <c:strCache>
                <c:ptCount val="4"/>
                <c:pt idx="0">
                  <c:v>From a MEDIN Data Archive Centre</c:v>
                </c:pt>
                <c:pt idx="1">
                  <c:v>Online access to data</c:v>
                </c:pt>
                <c:pt idx="2">
                  <c:v>Data available within "2 clicks" </c:v>
                </c:pt>
                <c:pt idx="3">
                  <c:v>Accessible using Digital Object Identifiers (DOI)</c:v>
                </c:pt>
              </c:strCache>
            </c:strRef>
          </c:cat>
          <c:val>
            <c:numRef>
              <c:f>Sheet1!$C$6:$C$9</c:f>
              <c:numCache>
                <c:formatCode>General</c:formatCode>
                <c:ptCount val="4"/>
                <c:pt idx="0">
                  <c:v>63.627094883068885</c:v>
                </c:pt>
                <c:pt idx="1">
                  <c:v>61.116421334352893</c:v>
                </c:pt>
                <c:pt idx="2">
                  <c:v>25.023896004588032</c:v>
                </c:pt>
                <c:pt idx="3">
                  <c:v>1.3254317211495572</c:v>
                </c:pt>
              </c:numCache>
            </c:numRef>
          </c:val>
          <c:extLst>
            <c:ext xmlns:c16="http://schemas.microsoft.com/office/drawing/2014/chart" uri="{C3380CC4-5D6E-409C-BE32-E72D297353CC}">
              <c16:uniqueId val="{0000000B-6AC4-480B-BCB6-A1C496CC81F5}"/>
            </c:ext>
          </c:extLst>
        </c:ser>
        <c:ser>
          <c:idx val="2"/>
          <c:order val="2"/>
          <c:tx>
            <c:strRef>
              <c:f>Sheet1!$D$1</c:f>
              <c:strCache>
                <c:ptCount val="1"/>
                <c:pt idx="0">
                  <c:v>Data available within "2 clicks" </c:v>
                </c:pt>
              </c:strCache>
            </c:strRef>
          </c:tx>
          <c:spPr>
            <a:solidFill>
              <a:schemeClr val="accent2"/>
            </a:solidFill>
            <a:ln>
              <a:noFill/>
            </a:ln>
            <a:effectLst/>
          </c:spPr>
          <c:invertIfNegative val="0"/>
          <c:cat>
            <c:strRef>
              <c:f>Sheet1!$A$6:$A$9</c:f>
              <c:strCache>
                <c:ptCount val="4"/>
                <c:pt idx="0">
                  <c:v>From a MEDIN Data Archive Centre</c:v>
                </c:pt>
                <c:pt idx="1">
                  <c:v>Online access to data</c:v>
                </c:pt>
                <c:pt idx="2">
                  <c:v>Data available within "2 clicks" </c:v>
                </c:pt>
                <c:pt idx="3">
                  <c:v>Accessible using Digital Object Identifiers (DOI)</c:v>
                </c:pt>
              </c:strCache>
            </c:strRef>
          </c:cat>
          <c:val>
            <c:numRef>
              <c:f>Sheet1!$D$6:$D$9</c:f>
              <c:numCache>
                <c:formatCode>General</c:formatCode>
                <c:ptCount val="4"/>
              </c:numCache>
            </c:numRef>
          </c:val>
          <c:extLst>
            <c:ext xmlns:c16="http://schemas.microsoft.com/office/drawing/2014/chart" uri="{C3380CC4-5D6E-409C-BE32-E72D297353CC}">
              <c16:uniqueId val="{0000000C-6AC4-480B-BCB6-A1C496CC81F5}"/>
            </c:ext>
          </c:extLst>
        </c:ser>
        <c:ser>
          <c:idx val="3"/>
          <c:order val="3"/>
          <c:tx>
            <c:strRef>
              <c:f>Sheet1!$E$1</c:f>
              <c:strCache>
                <c:ptCount val="1"/>
                <c:pt idx="0">
                  <c:v>Accessible using Digital Object Identifiers (DOI)</c:v>
                </c:pt>
              </c:strCache>
            </c:strRef>
          </c:tx>
          <c:spPr>
            <a:solidFill>
              <a:srgbClr val="2C02DE"/>
            </a:solidFill>
            <a:ln>
              <a:noFill/>
            </a:ln>
            <a:effectLst/>
          </c:spPr>
          <c:invertIfNegative val="0"/>
          <c:cat>
            <c:strRef>
              <c:f>Sheet1!$A$6:$A$9</c:f>
              <c:strCache>
                <c:ptCount val="4"/>
                <c:pt idx="0">
                  <c:v>From a MEDIN Data Archive Centre</c:v>
                </c:pt>
                <c:pt idx="1">
                  <c:v>Online access to data</c:v>
                </c:pt>
                <c:pt idx="2">
                  <c:v>Data available within "2 clicks" </c:v>
                </c:pt>
                <c:pt idx="3">
                  <c:v>Accessible using Digital Object Identifiers (DOI)</c:v>
                </c:pt>
              </c:strCache>
            </c:strRef>
          </c:cat>
          <c:val>
            <c:numRef>
              <c:f>Sheet1!$E$6:$E$9</c:f>
              <c:numCache>
                <c:formatCode>General</c:formatCode>
                <c:ptCount val="4"/>
              </c:numCache>
            </c:numRef>
          </c:val>
          <c:extLst>
            <c:ext xmlns:c16="http://schemas.microsoft.com/office/drawing/2014/chart" uri="{C3380CC4-5D6E-409C-BE32-E72D297353CC}">
              <c16:uniqueId val="{0000000D-6AC4-480B-BCB6-A1C496CC81F5}"/>
            </c:ext>
          </c:extLst>
        </c:ser>
        <c:dLbls>
          <c:showLegendKey val="0"/>
          <c:showVal val="0"/>
          <c:showCatName val="0"/>
          <c:showSerName val="0"/>
          <c:showPercent val="0"/>
          <c:showBubbleSize val="0"/>
        </c:dLbls>
        <c:gapWidth val="219"/>
        <c:axId val="1546624527"/>
        <c:axId val="1483446847"/>
      </c:barChart>
      <c:catAx>
        <c:axId val="1546624527"/>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Data</a:t>
                </a:r>
                <a:r>
                  <a:rPr lang="en-GB" baseline="0"/>
                  <a:t> accessibility</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483446847"/>
        <c:crosses val="autoZero"/>
        <c:auto val="1"/>
        <c:lblAlgn val="ctr"/>
        <c:lblOffset val="100"/>
        <c:noMultiLvlLbl val="0"/>
      </c:catAx>
      <c:valAx>
        <c:axId val="14834468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6624527"/>
        <c:crosses val="autoZero"/>
        <c:crossBetween val="between"/>
      </c:valAx>
      <c:spPr>
        <a:noFill/>
        <a:ln>
          <a:noFill/>
        </a:ln>
        <a:effectLst/>
      </c:spPr>
    </c:plotArea>
    <c:legend>
      <c:legendPos val="b"/>
      <c:layout>
        <c:manualLayout>
          <c:xMode val="edge"/>
          <c:yMode val="edge"/>
          <c:x val="0.68050132031368415"/>
          <c:y val="7.0704343775209955E-2"/>
          <c:w val="0.31949867968631579"/>
          <c:h val="0.771430821147356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narVert">
              <a:fgClr>
                <a:srgbClr val="FF9900"/>
              </a:fgClr>
              <a:bgClr>
                <a:schemeClr val="bg1"/>
              </a:bgClr>
            </a:pattFill>
            <a:ln>
              <a:noFill/>
            </a:ln>
            <a:effectLst/>
          </c:spPr>
          <c:invertIfNegative val="0"/>
          <c:cat>
            <c:strRef>
              <c:f>'[Chart in Microsoft Word]Sheet1'!$B$1:$K$1</c:f>
              <c:strCache>
                <c:ptCount val="10"/>
                <c:pt idx="0">
                  <c:v>ADS</c:v>
                </c:pt>
                <c:pt idx="1">
                  <c:v>BODC</c:v>
                </c:pt>
                <c:pt idx="2">
                  <c:v>BGS</c:v>
                </c:pt>
                <c:pt idx="3">
                  <c:v>Cefas</c:v>
                </c:pt>
                <c:pt idx="4">
                  <c:v>DASSH</c:v>
                </c:pt>
                <c:pt idx="5">
                  <c:v>HES</c:v>
                </c:pt>
                <c:pt idx="6">
                  <c:v>MSS</c:v>
                </c:pt>
                <c:pt idx="7">
                  <c:v>Met Office</c:v>
                </c:pt>
                <c:pt idx="8">
                  <c:v>RCAHMW</c:v>
                </c:pt>
                <c:pt idx="9">
                  <c:v>UKHO</c:v>
                </c:pt>
              </c:strCache>
            </c:strRef>
          </c:cat>
          <c:val>
            <c:numRef>
              <c:f>'[Chart in Microsoft Word]Sheet1'!$B$2:$K$2</c:f>
              <c:numCache>
                <c:formatCode>General</c:formatCode>
                <c:ptCount val="10"/>
                <c:pt idx="0">
                  <c:v>10439</c:v>
                </c:pt>
                <c:pt idx="1">
                  <c:v>172793</c:v>
                </c:pt>
                <c:pt idx="2">
                  <c:v>29228</c:v>
                </c:pt>
                <c:pt idx="3">
                  <c:v>3075</c:v>
                </c:pt>
                <c:pt idx="4">
                  <c:v>18776</c:v>
                </c:pt>
                <c:pt idx="5">
                  <c:v>0</c:v>
                </c:pt>
                <c:pt idx="6">
                  <c:v>72320</c:v>
                </c:pt>
                <c:pt idx="7">
                  <c:v>3</c:v>
                </c:pt>
                <c:pt idx="8">
                  <c:v>632460</c:v>
                </c:pt>
                <c:pt idx="9">
                  <c:v>8465</c:v>
                </c:pt>
              </c:numCache>
            </c:numRef>
          </c:val>
          <c:extLst>
            <c:ext xmlns:c16="http://schemas.microsoft.com/office/drawing/2014/chart" uri="{C3380CC4-5D6E-409C-BE32-E72D297353CC}">
              <c16:uniqueId val="{00000000-FAE4-49BA-90CD-22A8E604E716}"/>
            </c:ext>
          </c:extLst>
        </c:ser>
        <c:ser>
          <c:idx val="1"/>
          <c:order val="1"/>
          <c:spPr>
            <a:solidFill>
              <a:srgbClr val="0070C0"/>
            </a:solidFill>
            <a:ln>
              <a:noFill/>
            </a:ln>
            <a:effectLst/>
          </c:spPr>
          <c:invertIfNegative val="0"/>
          <c:cat>
            <c:strRef>
              <c:f>'[Chart in Microsoft Word]Sheet1'!$B$1:$K$1</c:f>
              <c:strCache>
                <c:ptCount val="10"/>
                <c:pt idx="0">
                  <c:v>ADS</c:v>
                </c:pt>
                <c:pt idx="1">
                  <c:v>BODC</c:v>
                </c:pt>
                <c:pt idx="2">
                  <c:v>BGS</c:v>
                </c:pt>
                <c:pt idx="3">
                  <c:v>Cefas</c:v>
                </c:pt>
                <c:pt idx="4">
                  <c:v>DASSH</c:v>
                </c:pt>
                <c:pt idx="5">
                  <c:v>HES</c:v>
                </c:pt>
                <c:pt idx="6">
                  <c:v>MSS</c:v>
                </c:pt>
                <c:pt idx="7">
                  <c:v>Met Office</c:v>
                </c:pt>
                <c:pt idx="8">
                  <c:v>RCAHMW</c:v>
                </c:pt>
                <c:pt idx="9">
                  <c:v>UKHO</c:v>
                </c:pt>
              </c:strCache>
            </c:strRef>
          </c:cat>
          <c:val>
            <c:numRef>
              <c:f>'[Chart in Microsoft Word]Sheet1'!$B$3:$K$3</c:f>
              <c:numCache>
                <c:formatCode>General</c:formatCode>
                <c:ptCount val="10"/>
                <c:pt idx="0">
                  <c:v>16038</c:v>
                </c:pt>
                <c:pt idx="1">
                  <c:v>410665</c:v>
                </c:pt>
                <c:pt idx="2">
                  <c:v>357071</c:v>
                </c:pt>
                <c:pt idx="3">
                  <c:v>4205</c:v>
                </c:pt>
                <c:pt idx="4">
                  <c:v>21727</c:v>
                </c:pt>
                <c:pt idx="5">
                  <c:v>7</c:v>
                </c:pt>
                <c:pt idx="6">
                  <c:v>38102</c:v>
                </c:pt>
                <c:pt idx="7">
                  <c:v>1</c:v>
                </c:pt>
                <c:pt idx="8">
                  <c:v>774576</c:v>
                </c:pt>
                <c:pt idx="9">
                  <c:v>8840</c:v>
                </c:pt>
              </c:numCache>
            </c:numRef>
          </c:val>
          <c:extLst>
            <c:ext xmlns:c16="http://schemas.microsoft.com/office/drawing/2014/chart" uri="{C3380CC4-5D6E-409C-BE32-E72D297353CC}">
              <c16:uniqueId val="{00000001-FAE4-49BA-90CD-22A8E604E716}"/>
            </c:ext>
          </c:extLst>
        </c:ser>
        <c:dLbls>
          <c:showLegendKey val="0"/>
          <c:showVal val="0"/>
          <c:showCatName val="0"/>
          <c:showSerName val="0"/>
          <c:showPercent val="0"/>
          <c:showBubbleSize val="0"/>
        </c:dLbls>
        <c:gapWidth val="219"/>
        <c:overlap val="-27"/>
        <c:axId val="209840751"/>
        <c:axId val="210626319"/>
      </c:barChart>
      <c:catAx>
        <c:axId val="209840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626319"/>
        <c:crosses val="autoZero"/>
        <c:auto val="1"/>
        <c:lblAlgn val="ctr"/>
        <c:lblOffset val="100"/>
        <c:noMultiLvlLbl val="0"/>
      </c:catAx>
      <c:valAx>
        <c:axId val="210626319"/>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Requests  for data per year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8407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299098482254936"/>
          <c:y val="6.3492063492063489E-2"/>
          <c:w val="0.47299935334170184"/>
          <c:h val="0.86074831555146514"/>
        </c:manualLayout>
      </c:layout>
      <c:barChart>
        <c:barDir val="col"/>
        <c:grouping val="clustered"/>
        <c:varyColors val="0"/>
        <c:ser>
          <c:idx val="0"/>
          <c:order val="0"/>
          <c:tx>
            <c:strRef>
              <c:f>Sheet1!$B$1</c:f>
              <c:strCache>
                <c:ptCount val="1"/>
                <c:pt idx="0">
                  <c:v>Social media </c:v>
                </c:pt>
              </c:strCache>
            </c:strRef>
          </c:tx>
          <c:spPr>
            <a:solidFill>
              <a:schemeClr val="accent1"/>
            </a:solidFill>
            <a:ln>
              <a:noFill/>
            </a:ln>
            <a:effectLst/>
          </c:spPr>
          <c:invertIfNegative val="0"/>
          <c:dPt>
            <c:idx val="0"/>
            <c:invertIfNegative val="0"/>
            <c:bubble3D val="0"/>
            <c:spPr>
              <a:pattFill prst="narVert">
                <a:fgClr>
                  <a:schemeClr val="accent1"/>
                </a:fgClr>
                <a:bgClr>
                  <a:schemeClr val="bg1"/>
                </a:bgClr>
              </a:pattFill>
              <a:ln>
                <a:noFill/>
              </a:ln>
              <a:effectLst/>
            </c:spPr>
            <c:extLst>
              <c:ext xmlns:c16="http://schemas.microsoft.com/office/drawing/2014/chart" uri="{C3380CC4-5D6E-409C-BE32-E72D297353CC}">
                <c16:uniqueId val="{00000001-4FF5-45B4-8B2B-9461F4A82691}"/>
              </c:ext>
            </c:extLst>
          </c:dPt>
          <c:dPt>
            <c:idx val="1"/>
            <c:invertIfNegative val="0"/>
            <c:bubble3D val="0"/>
            <c:spPr>
              <a:pattFill prst="narVert">
                <a:fgClr>
                  <a:srgbClr val="FF9900"/>
                </a:fgClr>
                <a:bgClr>
                  <a:schemeClr val="bg1"/>
                </a:bgClr>
              </a:pattFill>
              <a:ln>
                <a:noFill/>
              </a:ln>
              <a:effectLst/>
            </c:spPr>
            <c:extLst>
              <c:ext xmlns:c16="http://schemas.microsoft.com/office/drawing/2014/chart" uri="{C3380CC4-5D6E-409C-BE32-E72D297353CC}">
                <c16:uniqueId val="{00000003-4FF5-45B4-8B2B-9461F4A82691}"/>
              </c:ext>
            </c:extLst>
          </c:dPt>
          <c:dPt>
            <c:idx val="2"/>
            <c:invertIfNegative val="0"/>
            <c:bubble3D val="0"/>
            <c:spPr>
              <a:pattFill prst="narVert">
                <a:fgClr>
                  <a:schemeClr val="accent3"/>
                </a:fgClr>
                <a:bgClr>
                  <a:schemeClr val="bg1"/>
                </a:bgClr>
              </a:pattFill>
              <a:ln>
                <a:noFill/>
              </a:ln>
              <a:effectLst/>
            </c:spPr>
            <c:extLst>
              <c:ext xmlns:c16="http://schemas.microsoft.com/office/drawing/2014/chart" uri="{C3380CC4-5D6E-409C-BE32-E72D297353CC}">
                <c16:uniqueId val="{00000005-4FF5-45B4-8B2B-9461F4A82691}"/>
              </c:ext>
            </c:extLst>
          </c:dPt>
          <c:cat>
            <c:strRef>
              <c:f>Sheet1!$A$6:$A$8</c:f>
              <c:strCache>
                <c:ptCount val="3"/>
                <c:pt idx="0">
                  <c:v>Social media </c:v>
                </c:pt>
                <c:pt idx="1">
                  <c:v>Online newsletter</c:v>
                </c:pt>
                <c:pt idx="2">
                  <c:v>Working group participants</c:v>
                </c:pt>
              </c:strCache>
            </c:strRef>
          </c:cat>
          <c:val>
            <c:numRef>
              <c:f>Sheet1!$B$6:$B$8</c:f>
              <c:numCache>
                <c:formatCode>General</c:formatCode>
                <c:ptCount val="3"/>
                <c:pt idx="0">
                  <c:v>1507</c:v>
                </c:pt>
                <c:pt idx="1">
                  <c:v>506</c:v>
                </c:pt>
                <c:pt idx="2">
                  <c:v>58</c:v>
                </c:pt>
              </c:numCache>
            </c:numRef>
          </c:val>
          <c:extLst>
            <c:ext xmlns:c16="http://schemas.microsoft.com/office/drawing/2014/chart" uri="{C3380CC4-5D6E-409C-BE32-E72D297353CC}">
              <c16:uniqueId val="{00000006-4FF5-45B4-8B2B-9461F4A82691}"/>
            </c:ext>
          </c:extLst>
        </c:ser>
        <c:ser>
          <c:idx val="1"/>
          <c:order val="1"/>
          <c:tx>
            <c:strRef>
              <c:f>Sheet1!$C$1</c:f>
              <c:strCache>
                <c:ptCount val="1"/>
                <c:pt idx="0">
                  <c:v>Online newsletter</c:v>
                </c:pt>
              </c:strCache>
            </c:strRef>
          </c:tx>
          <c:spPr>
            <a:solidFill>
              <a:schemeClr val="accent2"/>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8-4FF5-45B4-8B2B-9461F4A82691}"/>
              </c:ext>
            </c:extLst>
          </c:dPt>
          <c:dPt>
            <c:idx val="1"/>
            <c:invertIfNegative val="0"/>
            <c:bubble3D val="0"/>
            <c:spPr>
              <a:solidFill>
                <a:srgbClr val="FF9900"/>
              </a:solidFill>
              <a:ln>
                <a:noFill/>
              </a:ln>
              <a:effectLst/>
            </c:spPr>
            <c:extLst>
              <c:ext xmlns:c16="http://schemas.microsoft.com/office/drawing/2014/chart" uri="{C3380CC4-5D6E-409C-BE32-E72D297353CC}">
                <c16:uniqueId val="{00000008-2588-4D2A-90FE-BC1C9F5F6147}"/>
              </c:ext>
            </c:extLst>
          </c:dPt>
          <c:cat>
            <c:strRef>
              <c:f>Sheet1!$A$6:$A$8</c:f>
              <c:strCache>
                <c:ptCount val="3"/>
                <c:pt idx="0">
                  <c:v>Social media </c:v>
                </c:pt>
                <c:pt idx="1">
                  <c:v>Online newsletter</c:v>
                </c:pt>
                <c:pt idx="2">
                  <c:v>Working group participants</c:v>
                </c:pt>
              </c:strCache>
            </c:strRef>
          </c:cat>
          <c:val>
            <c:numRef>
              <c:f>Sheet1!$C$6:$C$8</c:f>
              <c:numCache>
                <c:formatCode>General</c:formatCode>
                <c:ptCount val="3"/>
                <c:pt idx="0">
                  <c:v>1612</c:v>
                </c:pt>
                <c:pt idx="1">
                  <c:v>539</c:v>
                </c:pt>
                <c:pt idx="2">
                  <c:v>59</c:v>
                </c:pt>
              </c:numCache>
            </c:numRef>
          </c:val>
          <c:extLst>
            <c:ext xmlns:c16="http://schemas.microsoft.com/office/drawing/2014/chart" uri="{C3380CC4-5D6E-409C-BE32-E72D297353CC}">
              <c16:uniqueId val="{00000009-4FF5-45B4-8B2B-9461F4A82691}"/>
            </c:ext>
          </c:extLst>
        </c:ser>
        <c:ser>
          <c:idx val="2"/>
          <c:order val="2"/>
          <c:tx>
            <c:strRef>
              <c:f>Sheet1!$D$1</c:f>
              <c:strCache>
                <c:ptCount val="1"/>
                <c:pt idx="0">
                  <c:v>Working group participants</c:v>
                </c:pt>
              </c:strCache>
            </c:strRef>
          </c:tx>
          <c:spPr>
            <a:solidFill>
              <a:schemeClr val="accent3"/>
            </a:solidFill>
            <a:ln>
              <a:noFill/>
            </a:ln>
            <a:effectLst/>
          </c:spPr>
          <c:invertIfNegative val="0"/>
          <c:cat>
            <c:strRef>
              <c:f>Sheet1!$A$6:$A$8</c:f>
              <c:strCache>
                <c:ptCount val="3"/>
                <c:pt idx="0">
                  <c:v>Social media </c:v>
                </c:pt>
                <c:pt idx="1">
                  <c:v>Online newsletter</c:v>
                </c:pt>
                <c:pt idx="2">
                  <c:v>Working group participants</c:v>
                </c:pt>
              </c:strCache>
            </c:strRef>
          </c:cat>
          <c:val>
            <c:numRef>
              <c:f>Sheet1!$D$6:$D$8</c:f>
              <c:numCache>
                <c:formatCode>General</c:formatCode>
                <c:ptCount val="3"/>
              </c:numCache>
            </c:numRef>
          </c:val>
          <c:extLst>
            <c:ext xmlns:c16="http://schemas.microsoft.com/office/drawing/2014/chart" uri="{C3380CC4-5D6E-409C-BE32-E72D297353CC}">
              <c16:uniqueId val="{0000000A-4FF5-45B4-8B2B-9461F4A82691}"/>
            </c:ext>
          </c:extLst>
        </c:ser>
        <c:dLbls>
          <c:showLegendKey val="0"/>
          <c:showVal val="0"/>
          <c:showCatName val="0"/>
          <c:showSerName val="0"/>
          <c:showPercent val="0"/>
          <c:showBubbleSize val="0"/>
        </c:dLbls>
        <c:gapWidth val="219"/>
        <c:overlap val="-27"/>
        <c:axId val="1546624527"/>
        <c:axId val="1483446847"/>
      </c:barChart>
      <c:catAx>
        <c:axId val="1546624527"/>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Source of MEDIN information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483446847"/>
        <c:crosses val="autoZero"/>
        <c:auto val="1"/>
        <c:lblAlgn val="ctr"/>
        <c:lblOffset val="100"/>
        <c:noMultiLvlLbl val="0"/>
      </c:catAx>
      <c:valAx>
        <c:axId val="14834468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people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662452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b" anchorCtr="0"/>
          <a:lstStyle/>
          <a:p>
            <a:pPr>
              <a:defRPr sz="1400" b="0" i="0" u="none" strike="noStrike" kern="1200" spc="0" baseline="0">
                <a:solidFill>
                  <a:schemeClr val="tx1">
                    <a:lumMod val="65000"/>
                    <a:lumOff val="35000"/>
                  </a:schemeClr>
                </a:solidFill>
                <a:latin typeface="+mn-lt"/>
                <a:ea typeface="+mn-ea"/>
                <a:cs typeface="+mn-cs"/>
              </a:defRPr>
            </a:pPr>
            <a:r>
              <a:rPr lang="en-GB" sz="1000"/>
              <a:t>No training delivered this year due to COVID-19 pandemic</a:t>
            </a:r>
          </a:p>
        </c:rich>
      </c:tx>
      <c:layout>
        <c:manualLayout>
          <c:xMode val="edge"/>
          <c:yMode val="edge"/>
          <c:x val="0.41498961402830781"/>
          <c:y val="0.38326585695006748"/>
        </c:manualLayout>
      </c:layout>
      <c:overlay val="0"/>
      <c:spPr>
        <a:noFill/>
        <a:ln>
          <a:noFill/>
        </a:ln>
        <a:effectLst/>
      </c:spPr>
      <c:txPr>
        <a:bodyPr rot="-5400000" spcFirstLastPara="1" vertOverflow="ellipsis" wrap="square" anchor="b" anchorCtr="0"/>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269569245020842"/>
          <c:y val="4.4852348921971798E-2"/>
          <c:w val="0.56137532808398949"/>
          <c:h val="0.87020136652958868"/>
        </c:manualLayout>
      </c:layout>
      <c:barChart>
        <c:barDir val="col"/>
        <c:grouping val="stacked"/>
        <c:varyColors val="0"/>
        <c:ser>
          <c:idx val="0"/>
          <c:order val="0"/>
          <c:tx>
            <c:strRef>
              <c:f>Sheet1!$B$1</c:f>
              <c:strCache>
                <c:ptCount val="1"/>
                <c:pt idx="0">
                  <c:v>Government departments / agencies</c:v>
                </c:pt>
              </c:strCache>
            </c:strRef>
          </c:tx>
          <c:spPr>
            <a:solidFill>
              <a:srgbClr val="0070C0"/>
            </a:solidFill>
            <a:ln>
              <a:noFill/>
            </a:ln>
            <a:effectLst/>
          </c:spPr>
          <c:invertIfNegative val="0"/>
          <c:cat>
            <c:numRef>
              <c:f>Sheet1!$A$2:$A$3</c:f>
              <c:numCache>
                <c:formatCode>General</c:formatCode>
                <c:ptCount val="2"/>
                <c:pt idx="0">
                  <c:v>2020</c:v>
                </c:pt>
                <c:pt idx="1">
                  <c:v>2021</c:v>
                </c:pt>
              </c:numCache>
            </c:numRef>
          </c:cat>
          <c:val>
            <c:numRef>
              <c:f>Sheet1!$B$2:$B$3</c:f>
              <c:numCache>
                <c:formatCode>General</c:formatCode>
                <c:ptCount val="2"/>
                <c:pt idx="0">
                  <c:v>15</c:v>
                </c:pt>
              </c:numCache>
            </c:numRef>
          </c:val>
          <c:extLst>
            <c:ext xmlns:c16="http://schemas.microsoft.com/office/drawing/2014/chart" uri="{C3380CC4-5D6E-409C-BE32-E72D297353CC}">
              <c16:uniqueId val="{00000000-D947-410F-AF70-C2B6B1C19B70}"/>
            </c:ext>
          </c:extLst>
        </c:ser>
        <c:ser>
          <c:idx val="1"/>
          <c:order val="1"/>
          <c:tx>
            <c:strRef>
              <c:f>Sheet1!$C$1</c:f>
              <c:strCache>
                <c:ptCount val="1"/>
                <c:pt idx="0">
                  <c:v>Commercial organisations</c:v>
                </c:pt>
              </c:strCache>
            </c:strRef>
          </c:tx>
          <c:spPr>
            <a:solidFill>
              <a:srgbClr val="FF9900"/>
            </a:solidFill>
            <a:ln>
              <a:noFill/>
            </a:ln>
            <a:effectLst/>
          </c:spPr>
          <c:invertIfNegative val="0"/>
          <c:cat>
            <c:numRef>
              <c:f>Sheet1!$A$2:$A$3</c:f>
              <c:numCache>
                <c:formatCode>General</c:formatCode>
                <c:ptCount val="2"/>
                <c:pt idx="0">
                  <c:v>2020</c:v>
                </c:pt>
                <c:pt idx="1">
                  <c:v>2021</c:v>
                </c:pt>
              </c:numCache>
            </c:numRef>
          </c:cat>
          <c:val>
            <c:numRef>
              <c:f>Sheet1!$C$2:$C$3</c:f>
              <c:numCache>
                <c:formatCode>General</c:formatCode>
                <c:ptCount val="2"/>
                <c:pt idx="0">
                  <c:v>11</c:v>
                </c:pt>
              </c:numCache>
            </c:numRef>
          </c:val>
          <c:extLst>
            <c:ext xmlns:c16="http://schemas.microsoft.com/office/drawing/2014/chart" uri="{C3380CC4-5D6E-409C-BE32-E72D297353CC}">
              <c16:uniqueId val="{00000001-D947-410F-AF70-C2B6B1C19B70}"/>
            </c:ext>
          </c:extLst>
        </c:ser>
        <c:ser>
          <c:idx val="2"/>
          <c:order val="2"/>
          <c:tx>
            <c:strRef>
              <c:f>Sheet1!$D$1</c:f>
              <c:strCache>
                <c:ptCount val="1"/>
                <c:pt idx="0">
                  <c:v>Academia</c:v>
                </c:pt>
              </c:strCache>
            </c:strRef>
          </c:tx>
          <c:spPr>
            <a:solidFill>
              <a:schemeClr val="accent3"/>
            </a:solidFill>
            <a:ln>
              <a:noFill/>
            </a:ln>
            <a:effectLst/>
          </c:spPr>
          <c:invertIfNegative val="0"/>
          <c:cat>
            <c:numRef>
              <c:f>Sheet1!$A$2:$A$3</c:f>
              <c:numCache>
                <c:formatCode>General</c:formatCode>
                <c:ptCount val="2"/>
                <c:pt idx="0">
                  <c:v>2020</c:v>
                </c:pt>
                <c:pt idx="1">
                  <c:v>2021</c:v>
                </c:pt>
              </c:numCache>
            </c:numRef>
          </c:cat>
          <c:val>
            <c:numRef>
              <c:f>Sheet1!$D$2:$D$3</c:f>
              <c:numCache>
                <c:formatCode>General</c:formatCode>
                <c:ptCount val="2"/>
                <c:pt idx="0">
                  <c:v>11</c:v>
                </c:pt>
              </c:numCache>
            </c:numRef>
          </c:val>
          <c:extLst>
            <c:ext xmlns:c16="http://schemas.microsoft.com/office/drawing/2014/chart" uri="{C3380CC4-5D6E-409C-BE32-E72D297353CC}">
              <c16:uniqueId val="{00000002-D947-410F-AF70-C2B6B1C19B70}"/>
            </c:ext>
          </c:extLst>
        </c:ser>
        <c:ser>
          <c:idx val="3"/>
          <c:order val="3"/>
          <c:tx>
            <c:strRef>
              <c:f>Sheet1!$E$1</c:f>
              <c:strCache>
                <c:ptCount val="1"/>
                <c:pt idx="0">
                  <c:v>Charities/ NGOs</c:v>
                </c:pt>
              </c:strCache>
            </c:strRef>
          </c:tx>
          <c:spPr>
            <a:solidFill>
              <a:srgbClr val="2C02DE"/>
            </a:solidFill>
            <a:ln>
              <a:noFill/>
            </a:ln>
            <a:effectLst/>
          </c:spPr>
          <c:invertIfNegative val="0"/>
          <c:cat>
            <c:numRef>
              <c:f>Sheet1!$A$2:$A$3</c:f>
              <c:numCache>
                <c:formatCode>General</c:formatCode>
                <c:ptCount val="2"/>
                <c:pt idx="0">
                  <c:v>2020</c:v>
                </c:pt>
                <c:pt idx="1">
                  <c:v>2021</c:v>
                </c:pt>
              </c:numCache>
            </c:numRef>
          </c:cat>
          <c:val>
            <c:numRef>
              <c:f>Sheet1!$E$2:$E$3</c:f>
              <c:numCache>
                <c:formatCode>General</c:formatCode>
                <c:ptCount val="2"/>
                <c:pt idx="0">
                  <c:v>2</c:v>
                </c:pt>
              </c:numCache>
            </c:numRef>
          </c:val>
          <c:extLst>
            <c:ext xmlns:c16="http://schemas.microsoft.com/office/drawing/2014/chart" uri="{C3380CC4-5D6E-409C-BE32-E72D297353CC}">
              <c16:uniqueId val="{00000003-D947-410F-AF70-C2B6B1C19B70}"/>
            </c:ext>
          </c:extLst>
        </c:ser>
        <c:dLbls>
          <c:showLegendKey val="0"/>
          <c:showVal val="0"/>
          <c:showCatName val="0"/>
          <c:showSerName val="0"/>
          <c:showPercent val="0"/>
          <c:showBubbleSize val="0"/>
        </c:dLbls>
        <c:gapWidth val="219"/>
        <c:overlap val="100"/>
        <c:axId val="1491741967"/>
        <c:axId val="1493262447"/>
      </c:barChart>
      <c:catAx>
        <c:axId val="1491741967"/>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2020         2021</a:t>
                </a:r>
              </a:p>
            </c:rich>
          </c:tx>
          <c:layout>
            <c:manualLayout>
              <c:xMode val="edge"/>
              <c:yMode val="edge"/>
              <c:x val="0.24340370030433309"/>
              <c:y val="0.9150537154515604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493262447"/>
        <c:crosses val="autoZero"/>
        <c:auto val="1"/>
        <c:lblAlgn val="ctr"/>
        <c:lblOffset val="100"/>
        <c:noMultiLvlLbl val="0"/>
      </c:catAx>
      <c:valAx>
        <c:axId val="1493262447"/>
        <c:scaling>
          <c:orientation val="minMax"/>
          <c:max val="45"/>
        </c:scaling>
        <c:delete val="0"/>
        <c:axPos val="l"/>
        <c:majorGridlines>
          <c:spPr>
            <a:ln w="9525" cap="flat" cmpd="sng" algn="ctr">
              <a:solidFill>
                <a:schemeClr val="tx1">
                  <a:lumMod val="15000"/>
                  <a:lumOff val="85000"/>
                </a:schemeClr>
              </a:solid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organisations trained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1741967"/>
        <c:crosses val="autoZero"/>
        <c:crossBetween val="between"/>
        <c:majorUnit val="5"/>
        <c:minorUnit val="1"/>
      </c:valAx>
      <c:spPr>
        <a:noFill/>
        <a:ln>
          <a:noFill/>
        </a:ln>
        <a:effectLst/>
      </c:spPr>
    </c:plotArea>
    <c:legend>
      <c:legendPos val="b"/>
      <c:layout>
        <c:manualLayout>
          <c:xMode val="edge"/>
          <c:yMode val="edge"/>
          <c:x val="0.68507157464212676"/>
          <c:y val="9.3285727947974156E-2"/>
          <c:w val="0.31492842535787319"/>
          <c:h val="0.90671427205202593"/>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No training delivered this year due to COVID-19</a:t>
            </a:r>
            <a:r>
              <a:rPr lang="en-GB" sz="1000" baseline="0"/>
              <a:t> pandemic</a:t>
            </a:r>
            <a:endParaRPr lang="en-GB" sz="1000"/>
          </a:p>
        </c:rich>
      </c:tx>
      <c:layout>
        <c:manualLayout>
          <c:xMode val="edge"/>
          <c:yMode val="edge"/>
          <c:x val="0.45808735446530729"/>
          <c:y val="0.37333333333333335"/>
        </c:manualLayout>
      </c:layout>
      <c:overlay val="0"/>
      <c:spPr>
        <a:noFill/>
        <a:ln>
          <a:noFill/>
        </a:ln>
        <a:effectLst/>
      </c:spPr>
      <c:txPr>
        <a:bodyPr rot="-5400000" spcFirstLastPara="1" vertOverflow="ellipsis"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481607106803956"/>
          <c:y val="0.11138138138138139"/>
          <c:w val="0.60646611481257151"/>
          <c:h val="0.78848671916010493"/>
        </c:manualLayout>
      </c:layout>
      <c:barChart>
        <c:barDir val="col"/>
        <c:grouping val="stacked"/>
        <c:varyColors val="0"/>
        <c:ser>
          <c:idx val="0"/>
          <c:order val="0"/>
          <c:tx>
            <c:strRef>
              <c:f>Sheet1!$B$1</c:f>
              <c:strCache>
                <c:ptCount val="1"/>
                <c:pt idx="0">
                  <c:v>England</c:v>
                </c:pt>
              </c:strCache>
            </c:strRef>
          </c:tx>
          <c:spPr>
            <a:solidFill>
              <a:schemeClr val="accent1"/>
            </a:solidFill>
            <a:ln>
              <a:noFill/>
            </a:ln>
            <a:effectLst/>
          </c:spPr>
          <c:invertIfNegative val="0"/>
          <c:cat>
            <c:numRef>
              <c:f>Sheet1!$A$2:$A$3</c:f>
              <c:numCache>
                <c:formatCode>General</c:formatCode>
                <c:ptCount val="2"/>
                <c:pt idx="0">
                  <c:v>2020</c:v>
                </c:pt>
                <c:pt idx="1">
                  <c:v>2021</c:v>
                </c:pt>
              </c:numCache>
            </c:numRef>
          </c:cat>
          <c:val>
            <c:numRef>
              <c:f>Sheet1!$B$2:$B$3</c:f>
              <c:numCache>
                <c:formatCode>General</c:formatCode>
                <c:ptCount val="2"/>
                <c:pt idx="0">
                  <c:v>25</c:v>
                </c:pt>
              </c:numCache>
            </c:numRef>
          </c:val>
          <c:extLst>
            <c:ext xmlns:c16="http://schemas.microsoft.com/office/drawing/2014/chart" uri="{C3380CC4-5D6E-409C-BE32-E72D297353CC}">
              <c16:uniqueId val="{00000000-B128-49A3-85DA-761B9B37CF23}"/>
            </c:ext>
          </c:extLst>
        </c:ser>
        <c:ser>
          <c:idx val="1"/>
          <c:order val="1"/>
          <c:tx>
            <c:strRef>
              <c:f>Sheet1!$C$1</c:f>
              <c:strCache>
                <c:ptCount val="1"/>
                <c:pt idx="0">
                  <c:v>Northern Ireland</c:v>
                </c:pt>
              </c:strCache>
            </c:strRef>
          </c:tx>
          <c:spPr>
            <a:solidFill>
              <a:srgbClr val="FF9900"/>
            </a:solidFill>
            <a:ln>
              <a:noFill/>
            </a:ln>
            <a:effectLst/>
          </c:spPr>
          <c:invertIfNegative val="0"/>
          <c:cat>
            <c:numRef>
              <c:f>Sheet1!$A$2:$A$3</c:f>
              <c:numCache>
                <c:formatCode>General</c:formatCode>
                <c:ptCount val="2"/>
                <c:pt idx="0">
                  <c:v>2020</c:v>
                </c:pt>
                <c:pt idx="1">
                  <c:v>2021</c:v>
                </c:pt>
              </c:numCache>
            </c:numRef>
          </c:cat>
          <c:val>
            <c:numRef>
              <c:f>Sheet1!$C$2:$C$3</c:f>
              <c:numCache>
                <c:formatCode>General</c:formatCode>
                <c:ptCount val="2"/>
                <c:pt idx="0">
                  <c:v>3</c:v>
                </c:pt>
              </c:numCache>
            </c:numRef>
          </c:val>
          <c:extLst>
            <c:ext xmlns:c16="http://schemas.microsoft.com/office/drawing/2014/chart" uri="{C3380CC4-5D6E-409C-BE32-E72D297353CC}">
              <c16:uniqueId val="{00000001-B128-49A3-85DA-761B9B37CF23}"/>
            </c:ext>
          </c:extLst>
        </c:ser>
        <c:ser>
          <c:idx val="2"/>
          <c:order val="2"/>
          <c:tx>
            <c:strRef>
              <c:f>Sheet1!$D$1</c:f>
              <c:strCache>
                <c:ptCount val="1"/>
                <c:pt idx="0">
                  <c:v>Scotland </c:v>
                </c:pt>
              </c:strCache>
            </c:strRef>
          </c:tx>
          <c:spPr>
            <a:solidFill>
              <a:schemeClr val="accent3"/>
            </a:solidFill>
            <a:ln>
              <a:noFill/>
            </a:ln>
            <a:effectLst/>
          </c:spPr>
          <c:invertIfNegative val="0"/>
          <c:cat>
            <c:numRef>
              <c:f>Sheet1!$A$2:$A$3</c:f>
              <c:numCache>
                <c:formatCode>General</c:formatCode>
                <c:ptCount val="2"/>
                <c:pt idx="0">
                  <c:v>2020</c:v>
                </c:pt>
                <c:pt idx="1">
                  <c:v>2021</c:v>
                </c:pt>
              </c:numCache>
            </c:numRef>
          </c:cat>
          <c:val>
            <c:numRef>
              <c:f>Sheet1!$D$2:$D$3</c:f>
              <c:numCache>
                <c:formatCode>General</c:formatCode>
                <c:ptCount val="2"/>
                <c:pt idx="0">
                  <c:v>11</c:v>
                </c:pt>
              </c:numCache>
            </c:numRef>
          </c:val>
          <c:extLst>
            <c:ext xmlns:c16="http://schemas.microsoft.com/office/drawing/2014/chart" uri="{C3380CC4-5D6E-409C-BE32-E72D297353CC}">
              <c16:uniqueId val="{00000002-B128-49A3-85DA-761B9B37CF23}"/>
            </c:ext>
          </c:extLst>
        </c:ser>
        <c:ser>
          <c:idx val="3"/>
          <c:order val="3"/>
          <c:tx>
            <c:strRef>
              <c:f>Sheet1!$E$1</c:f>
              <c:strCache>
                <c:ptCount val="1"/>
                <c:pt idx="0">
                  <c:v>Wales</c:v>
                </c:pt>
              </c:strCache>
            </c:strRef>
          </c:tx>
          <c:spPr>
            <a:solidFill>
              <a:srgbClr val="2C02DE"/>
            </a:solidFill>
            <a:ln>
              <a:noFill/>
            </a:ln>
            <a:effectLst/>
          </c:spPr>
          <c:invertIfNegative val="0"/>
          <c:cat>
            <c:numRef>
              <c:f>Sheet1!$A$2:$A$3</c:f>
              <c:numCache>
                <c:formatCode>General</c:formatCode>
                <c:ptCount val="2"/>
                <c:pt idx="0">
                  <c:v>2020</c:v>
                </c:pt>
                <c:pt idx="1">
                  <c:v>2021</c:v>
                </c:pt>
              </c:numCache>
            </c:numRef>
          </c:cat>
          <c:val>
            <c:numRef>
              <c:f>Sheet1!$E$2:$E$3</c:f>
              <c:numCache>
                <c:formatCode>General</c:formatCode>
                <c:ptCount val="2"/>
                <c:pt idx="0">
                  <c:v>0</c:v>
                </c:pt>
              </c:numCache>
            </c:numRef>
          </c:val>
          <c:extLst>
            <c:ext xmlns:c16="http://schemas.microsoft.com/office/drawing/2014/chart" uri="{C3380CC4-5D6E-409C-BE32-E72D297353CC}">
              <c16:uniqueId val="{00000003-B128-49A3-85DA-761B9B37CF23}"/>
            </c:ext>
          </c:extLst>
        </c:ser>
        <c:dLbls>
          <c:showLegendKey val="0"/>
          <c:showVal val="0"/>
          <c:showCatName val="0"/>
          <c:showSerName val="0"/>
          <c:showPercent val="0"/>
          <c:showBubbleSize val="0"/>
        </c:dLbls>
        <c:gapWidth val="219"/>
        <c:overlap val="100"/>
        <c:axId val="1491755167"/>
        <c:axId val="1493274095"/>
      </c:barChart>
      <c:catAx>
        <c:axId val="1491755167"/>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2020                 2021</a:t>
                </a:r>
              </a:p>
            </c:rich>
          </c:tx>
          <c:layout>
            <c:manualLayout>
              <c:xMode val="edge"/>
              <c:yMode val="edge"/>
              <c:x val="0.22373275455952621"/>
              <c:y val="0.8998681364829396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493274095"/>
        <c:crosses val="autoZero"/>
        <c:auto val="1"/>
        <c:lblAlgn val="ctr"/>
        <c:lblOffset val="100"/>
        <c:noMultiLvlLbl val="0"/>
      </c:catAx>
      <c:valAx>
        <c:axId val="1493274095"/>
        <c:scaling>
          <c:orientation val="minMax"/>
          <c:max val="4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organisations trained</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1755167"/>
        <c:crosses val="autoZero"/>
        <c:crossBetween val="between"/>
        <c:majorUnit val="5"/>
      </c:valAx>
      <c:spPr>
        <a:noFill/>
        <a:ln w="25400">
          <a:noFill/>
        </a:ln>
        <a:effectLst/>
      </c:spPr>
    </c:plotArea>
    <c:legend>
      <c:legendPos val="b"/>
      <c:layout>
        <c:manualLayout>
          <c:xMode val="edge"/>
          <c:yMode val="edge"/>
          <c:x val="0.77777777777777779"/>
          <c:y val="0.12189438320209971"/>
          <c:w val="0.21794871794871795"/>
          <c:h val="0.84200062992125979"/>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'2020-21'!$A$12</c:f>
              <c:strCache>
                <c:ptCount val="1"/>
                <c:pt idx="0">
                  <c:v>% 2 clicks</c:v>
                </c:pt>
              </c:strCache>
            </c:strRef>
          </c:tx>
          <c:spPr>
            <a:solidFill>
              <a:srgbClr val="0070C0"/>
            </a:solidFill>
            <a:ln>
              <a:noFill/>
            </a:ln>
            <a:effectLst/>
          </c:spPr>
          <c:invertIfNegative val="0"/>
          <c:cat>
            <c:strRef>
              <c:f>'2020-21'!$B$1:$K$1</c:f>
              <c:strCache>
                <c:ptCount val="10"/>
                <c:pt idx="0">
                  <c:v>ADS</c:v>
                </c:pt>
                <c:pt idx="1">
                  <c:v>BGS</c:v>
                </c:pt>
                <c:pt idx="2">
                  <c:v>BODC</c:v>
                </c:pt>
                <c:pt idx="3">
                  <c:v>Cefas</c:v>
                </c:pt>
                <c:pt idx="4">
                  <c:v>DASSH</c:v>
                </c:pt>
                <c:pt idx="5">
                  <c:v>HES</c:v>
                </c:pt>
                <c:pt idx="6">
                  <c:v>Met Office</c:v>
                </c:pt>
                <c:pt idx="7">
                  <c:v>MSS</c:v>
                </c:pt>
                <c:pt idx="8">
                  <c:v>UKHO</c:v>
                </c:pt>
                <c:pt idx="9">
                  <c:v>RCAMHW</c:v>
                </c:pt>
              </c:strCache>
            </c:strRef>
          </c:cat>
          <c:val>
            <c:numRef>
              <c:f>'2020-21'!$B$12:$K$12</c:f>
              <c:numCache>
                <c:formatCode>0</c:formatCode>
                <c:ptCount val="10"/>
                <c:pt idx="0">
                  <c:v>57.034220532319388</c:v>
                </c:pt>
                <c:pt idx="1">
                  <c:v>80.980163360560098</c:v>
                </c:pt>
                <c:pt idx="2">
                  <c:v>90.063233965672993</c:v>
                </c:pt>
                <c:pt idx="3">
                  <c:v>93.416030534351151</c:v>
                </c:pt>
                <c:pt idx="4">
                  <c:v>17.150760719225449</c:v>
                </c:pt>
                <c:pt idx="5">
                  <c:v>25.531914893617021</c:v>
                </c:pt>
                <c:pt idx="6">
                  <c:v>14.285714285714285</c:v>
                </c:pt>
                <c:pt idx="7">
                  <c:v>20.779220779220779</c:v>
                </c:pt>
                <c:pt idx="8">
                  <c:v>0</c:v>
                </c:pt>
                <c:pt idx="9">
                  <c:v>0</c:v>
                </c:pt>
              </c:numCache>
            </c:numRef>
          </c:val>
          <c:extLst>
            <c:ext xmlns:c16="http://schemas.microsoft.com/office/drawing/2014/chart" uri="{C3380CC4-5D6E-409C-BE32-E72D297353CC}">
              <c16:uniqueId val="{00000000-CDF7-47FA-9DB4-EBA3885C3DB2}"/>
            </c:ext>
          </c:extLst>
        </c:ser>
        <c:dLbls>
          <c:showLegendKey val="0"/>
          <c:showVal val="0"/>
          <c:showCatName val="0"/>
          <c:showSerName val="0"/>
          <c:showPercent val="0"/>
          <c:showBubbleSize val="0"/>
        </c:dLbls>
        <c:gapWidth val="219"/>
        <c:overlap val="-27"/>
        <c:axId val="630871568"/>
        <c:axId val="630863368"/>
      </c:barChart>
      <c:catAx>
        <c:axId val="6308715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MEDIN Data Archive Centres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863368"/>
        <c:crosses val="autoZero"/>
        <c:auto val="1"/>
        <c:lblAlgn val="ctr"/>
        <c:lblOffset val="100"/>
        <c:noMultiLvlLbl val="0"/>
      </c:catAx>
      <c:valAx>
        <c:axId val="63086336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of datasets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871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2.xml.rels><?xml version="1.0" encoding="UTF-8" standalone="yes"?>
<Relationships xmlns="http://schemas.openxmlformats.org/package/2006/relationships"><Relationship Id="rId1" Type="http://schemas.openxmlformats.org/officeDocument/2006/relationships/image" Target="../media/image2.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65ECB8-6349-4BE0-BE64-37D8531085FD}"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670C0EDA-EBB7-47CE-80CD-8AB683FA970E}">
      <dgm:prSet phldrT="[Text]" custT="1"/>
      <dgm:spPr/>
      <dgm:t>
        <a:bodyPr/>
        <a:lstStyle/>
        <a:p>
          <a:r>
            <a:rPr lang="en-GB" sz="4000"/>
            <a:t>Highlights of the year</a:t>
          </a:r>
        </a:p>
      </dgm:t>
    </dgm:pt>
    <dgm:pt modelId="{F0D77E5C-AC3B-48A2-9A86-39D152475E62}" type="parTrans" cxnId="{B08CDFBB-4745-454A-8C2A-759D5E3296F2}">
      <dgm:prSet/>
      <dgm:spPr/>
      <dgm:t>
        <a:bodyPr/>
        <a:lstStyle/>
        <a:p>
          <a:endParaRPr lang="en-GB"/>
        </a:p>
      </dgm:t>
    </dgm:pt>
    <dgm:pt modelId="{1E517570-2647-42F2-A147-2C7250E1DF72}" type="sibTrans" cxnId="{B08CDFBB-4745-454A-8C2A-759D5E3296F2}">
      <dgm:prSet/>
      <dgm:spPr/>
      <dgm:t>
        <a:bodyPr/>
        <a:lstStyle/>
        <a:p>
          <a:endParaRPr lang="en-GB"/>
        </a:p>
      </dgm:t>
    </dgm:pt>
    <dgm:pt modelId="{EDE11B54-FBA4-47AA-B986-D8FD48D544A3}">
      <dgm:prSet phldrT="[Text]"/>
      <dgm:spPr/>
      <dgm:t>
        <a:bodyPr/>
        <a:lstStyle/>
        <a:p>
          <a:r>
            <a:rPr lang="en-GB"/>
            <a:t>This year we continued to enhance the national framework for marine data management in the UK</a:t>
          </a:r>
        </a:p>
      </dgm:t>
    </dgm:pt>
    <dgm:pt modelId="{20A18EB7-2D6B-496F-85CC-4D8566B58849}" type="parTrans" cxnId="{EBDEE0F9-C7D0-405A-B6BC-3A4B7A6B9029}">
      <dgm:prSet/>
      <dgm:spPr/>
      <dgm:t>
        <a:bodyPr/>
        <a:lstStyle/>
        <a:p>
          <a:endParaRPr lang="en-GB"/>
        </a:p>
      </dgm:t>
    </dgm:pt>
    <dgm:pt modelId="{FFBE9181-8520-499B-A779-D366D6B0A569}" type="sibTrans" cxnId="{EBDEE0F9-C7D0-405A-B6BC-3A4B7A6B9029}">
      <dgm:prSet/>
      <dgm:spPr/>
      <dgm:t>
        <a:bodyPr/>
        <a:lstStyle/>
        <a:p>
          <a:endParaRPr lang="en-GB"/>
        </a:p>
      </dgm:t>
    </dgm:pt>
    <dgm:pt modelId="{5D88D0BF-8304-4580-8A83-D95DD0FAE1D7}" type="pres">
      <dgm:prSet presAssocID="{3765ECB8-6349-4BE0-BE64-37D8531085FD}" presName="diagram" presStyleCnt="0">
        <dgm:presLayoutVars>
          <dgm:dir/>
          <dgm:resizeHandles val="exact"/>
        </dgm:presLayoutVars>
      </dgm:prSet>
      <dgm:spPr/>
    </dgm:pt>
    <dgm:pt modelId="{5298F081-5478-4193-8937-552F7098F85B}" type="pres">
      <dgm:prSet presAssocID="{670C0EDA-EBB7-47CE-80CD-8AB683FA970E}" presName="node" presStyleLbl="node1" presStyleIdx="0" presStyleCnt="2">
        <dgm:presLayoutVars>
          <dgm:bulletEnabled val="1"/>
        </dgm:presLayoutVars>
      </dgm:prSet>
      <dgm:spPr/>
    </dgm:pt>
    <dgm:pt modelId="{C4D64226-2EA1-460F-885F-C46D7846F01D}" type="pres">
      <dgm:prSet presAssocID="{1E517570-2647-42F2-A147-2C7250E1DF72}" presName="sibTrans" presStyleCnt="0"/>
      <dgm:spPr/>
    </dgm:pt>
    <dgm:pt modelId="{63453562-9800-4319-861C-0C785CD1D8B4}" type="pres">
      <dgm:prSet presAssocID="{EDE11B54-FBA4-47AA-B986-D8FD48D544A3}" presName="node" presStyleLbl="node1" presStyleIdx="1" presStyleCnt="2">
        <dgm:presLayoutVars>
          <dgm:bulletEnabled val="1"/>
        </dgm:presLayoutVars>
      </dgm:prSet>
      <dgm:spPr/>
    </dgm:pt>
  </dgm:ptLst>
  <dgm:cxnLst>
    <dgm:cxn modelId="{B504B149-E699-4834-9624-2EB141B7B04E}" type="presOf" srcId="{670C0EDA-EBB7-47CE-80CD-8AB683FA970E}" destId="{5298F081-5478-4193-8937-552F7098F85B}" srcOrd="0" destOrd="0" presId="urn:microsoft.com/office/officeart/2005/8/layout/default"/>
    <dgm:cxn modelId="{B08CDFBB-4745-454A-8C2A-759D5E3296F2}" srcId="{3765ECB8-6349-4BE0-BE64-37D8531085FD}" destId="{670C0EDA-EBB7-47CE-80CD-8AB683FA970E}" srcOrd="0" destOrd="0" parTransId="{F0D77E5C-AC3B-48A2-9A86-39D152475E62}" sibTransId="{1E517570-2647-42F2-A147-2C7250E1DF72}"/>
    <dgm:cxn modelId="{D75FF8E1-1D31-40C6-861B-F0E4E6326BEA}" type="presOf" srcId="{EDE11B54-FBA4-47AA-B986-D8FD48D544A3}" destId="{63453562-9800-4319-861C-0C785CD1D8B4}" srcOrd="0" destOrd="0" presId="urn:microsoft.com/office/officeart/2005/8/layout/default"/>
    <dgm:cxn modelId="{EBDEE0F9-C7D0-405A-B6BC-3A4B7A6B9029}" srcId="{3765ECB8-6349-4BE0-BE64-37D8531085FD}" destId="{EDE11B54-FBA4-47AA-B986-D8FD48D544A3}" srcOrd="1" destOrd="0" parTransId="{20A18EB7-2D6B-496F-85CC-4D8566B58849}" sibTransId="{FFBE9181-8520-499B-A779-D366D6B0A569}"/>
    <dgm:cxn modelId="{2AD4F4FE-B4DA-4DC9-BC09-8BF2CA896B0B}" type="presOf" srcId="{3765ECB8-6349-4BE0-BE64-37D8531085FD}" destId="{5D88D0BF-8304-4580-8A83-D95DD0FAE1D7}" srcOrd="0" destOrd="0" presId="urn:microsoft.com/office/officeart/2005/8/layout/default"/>
    <dgm:cxn modelId="{E68370B9-48AE-4524-B0EF-28E6545F2006}" type="presParOf" srcId="{5D88D0BF-8304-4580-8A83-D95DD0FAE1D7}" destId="{5298F081-5478-4193-8937-552F7098F85B}" srcOrd="0" destOrd="0" presId="urn:microsoft.com/office/officeart/2005/8/layout/default"/>
    <dgm:cxn modelId="{092A3DFC-80EE-4A8B-9D95-9AE32FFB257D}" type="presParOf" srcId="{5D88D0BF-8304-4580-8A83-D95DD0FAE1D7}" destId="{C4D64226-2EA1-460F-885F-C46D7846F01D}" srcOrd="1" destOrd="0" presId="urn:microsoft.com/office/officeart/2005/8/layout/default"/>
    <dgm:cxn modelId="{8F4634E6-4081-4219-B9B2-D17708E57EBC}" type="presParOf" srcId="{5D88D0BF-8304-4580-8A83-D95DD0FAE1D7}" destId="{63453562-9800-4319-861C-0C785CD1D8B4}" srcOrd="2" destOrd="0" presId="urn:microsoft.com/office/officeart/2005/8/layout/defaul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765ECB8-6349-4BE0-BE64-37D8531085FD}"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670C0EDA-EBB7-47CE-80CD-8AB683FA970E}">
      <dgm:prSet phldrT="[Text]" custT="1"/>
      <dgm:spPr>
        <a:xfrm>
          <a:off x="805"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3600">
              <a:solidFill>
                <a:sysClr val="window" lastClr="FFFFFF"/>
              </a:solidFill>
              <a:latin typeface="Calibri" panose="020F0502020204030204"/>
              <a:ea typeface="+mn-ea"/>
              <a:cs typeface="+mn-cs"/>
            </a:rPr>
            <a:t>Resources and applications development</a:t>
          </a:r>
        </a:p>
      </dgm:t>
    </dgm:pt>
    <dgm:pt modelId="{F0D77E5C-AC3B-48A2-9A86-39D152475E62}" type="parTrans" cxnId="{B08CDFBB-4745-454A-8C2A-759D5E3296F2}">
      <dgm:prSet/>
      <dgm:spPr/>
      <dgm:t>
        <a:bodyPr/>
        <a:lstStyle/>
        <a:p>
          <a:endParaRPr lang="en-GB"/>
        </a:p>
      </dgm:t>
    </dgm:pt>
    <dgm:pt modelId="{1E517570-2647-42F2-A147-2C7250E1DF72}" type="sibTrans" cxnId="{B08CDFBB-4745-454A-8C2A-759D5E3296F2}">
      <dgm:prSet/>
      <dgm:spPr/>
      <dgm:t>
        <a:bodyPr/>
        <a:lstStyle/>
        <a:p>
          <a:endParaRPr lang="en-GB"/>
        </a:p>
      </dgm:t>
    </dgm:pt>
    <dgm:pt modelId="{EDE11B54-FBA4-47AA-B986-D8FD48D544A3}">
      <dgm:prSet phldrT="[Text]"/>
      <dgm:spPr>
        <a:xfrm>
          <a:off x="3457536"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This year we funded data management tools for new and emerging technologies</a:t>
          </a:r>
        </a:p>
      </dgm:t>
    </dgm:pt>
    <dgm:pt modelId="{20A18EB7-2D6B-496F-85CC-4D8566B58849}" type="parTrans" cxnId="{EBDEE0F9-C7D0-405A-B6BC-3A4B7A6B9029}">
      <dgm:prSet/>
      <dgm:spPr/>
      <dgm:t>
        <a:bodyPr/>
        <a:lstStyle/>
        <a:p>
          <a:endParaRPr lang="en-GB"/>
        </a:p>
      </dgm:t>
    </dgm:pt>
    <dgm:pt modelId="{FFBE9181-8520-499B-A779-D366D6B0A569}" type="sibTrans" cxnId="{EBDEE0F9-C7D0-405A-B6BC-3A4B7A6B9029}">
      <dgm:prSet/>
      <dgm:spPr/>
      <dgm:t>
        <a:bodyPr/>
        <a:lstStyle/>
        <a:p>
          <a:endParaRPr lang="en-GB"/>
        </a:p>
      </dgm:t>
    </dgm:pt>
    <dgm:pt modelId="{5D88D0BF-8304-4580-8A83-D95DD0FAE1D7}" type="pres">
      <dgm:prSet presAssocID="{3765ECB8-6349-4BE0-BE64-37D8531085FD}" presName="diagram" presStyleCnt="0">
        <dgm:presLayoutVars>
          <dgm:dir/>
          <dgm:resizeHandles val="exact"/>
        </dgm:presLayoutVars>
      </dgm:prSet>
      <dgm:spPr/>
    </dgm:pt>
    <dgm:pt modelId="{5298F081-5478-4193-8937-552F7098F85B}" type="pres">
      <dgm:prSet presAssocID="{670C0EDA-EBB7-47CE-80CD-8AB683FA970E}" presName="node" presStyleLbl="node1" presStyleIdx="0" presStyleCnt="2">
        <dgm:presLayoutVars>
          <dgm:bulletEnabled val="1"/>
        </dgm:presLayoutVars>
      </dgm:prSet>
      <dgm:spPr/>
    </dgm:pt>
    <dgm:pt modelId="{C4D64226-2EA1-460F-885F-C46D7846F01D}" type="pres">
      <dgm:prSet presAssocID="{1E517570-2647-42F2-A147-2C7250E1DF72}" presName="sibTrans" presStyleCnt="0"/>
      <dgm:spPr/>
    </dgm:pt>
    <dgm:pt modelId="{63453562-9800-4319-861C-0C785CD1D8B4}" type="pres">
      <dgm:prSet presAssocID="{EDE11B54-FBA4-47AA-B986-D8FD48D544A3}" presName="node" presStyleLbl="node1" presStyleIdx="1" presStyleCnt="2">
        <dgm:presLayoutVars>
          <dgm:bulletEnabled val="1"/>
        </dgm:presLayoutVars>
      </dgm:prSet>
      <dgm:spPr/>
    </dgm:pt>
  </dgm:ptLst>
  <dgm:cxnLst>
    <dgm:cxn modelId="{B504B149-E699-4834-9624-2EB141B7B04E}" type="presOf" srcId="{670C0EDA-EBB7-47CE-80CD-8AB683FA970E}" destId="{5298F081-5478-4193-8937-552F7098F85B}" srcOrd="0" destOrd="0" presId="urn:microsoft.com/office/officeart/2005/8/layout/default"/>
    <dgm:cxn modelId="{B08CDFBB-4745-454A-8C2A-759D5E3296F2}" srcId="{3765ECB8-6349-4BE0-BE64-37D8531085FD}" destId="{670C0EDA-EBB7-47CE-80CD-8AB683FA970E}" srcOrd="0" destOrd="0" parTransId="{F0D77E5C-AC3B-48A2-9A86-39D152475E62}" sibTransId="{1E517570-2647-42F2-A147-2C7250E1DF72}"/>
    <dgm:cxn modelId="{D75FF8E1-1D31-40C6-861B-F0E4E6326BEA}" type="presOf" srcId="{EDE11B54-FBA4-47AA-B986-D8FD48D544A3}" destId="{63453562-9800-4319-861C-0C785CD1D8B4}" srcOrd="0" destOrd="0" presId="urn:microsoft.com/office/officeart/2005/8/layout/default"/>
    <dgm:cxn modelId="{EBDEE0F9-C7D0-405A-B6BC-3A4B7A6B9029}" srcId="{3765ECB8-6349-4BE0-BE64-37D8531085FD}" destId="{EDE11B54-FBA4-47AA-B986-D8FD48D544A3}" srcOrd="1" destOrd="0" parTransId="{20A18EB7-2D6B-496F-85CC-4D8566B58849}" sibTransId="{FFBE9181-8520-499B-A779-D366D6B0A569}"/>
    <dgm:cxn modelId="{2AD4F4FE-B4DA-4DC9-BC09-8BF2CA896B0B}" type="presOf" srcId="{3765ECB8-6349-4BE0-BE64-37D8531085FD}" destId="{5D88D0BF-8304-4580-8A83-D95DD0FAE1D7}" srcOrd="0" destOrd="0" presId="urn:microsoft.com/office/officeart/2005/8/layout/default"/>
    <dgm:cxn modelId="{E68370B9-48AE-4524-B0EF-28E6545F2006}" type="presParOf" srcId="{5D88D0BF-8304-4580-8A83-D95DD0FAE1D7}" destId="{5298F081-5478-4193-8937-552F7098F85B}" srcOrd="0" destOrd="0" presId="urn:microsoft.com/office/officeart/2005/8/layout/default"/>
    <dgm:cxn modelId="{092A3DFC-80EE-4A8B-9D95-9AE32FFB257D}" type="presParOf" srcId="{5D88D0BF-8304-4580-8A83-D95DD0FAE1D7}" destId="{C4D64226-2EA1-460F-885F-C46D7846F01D}" srcOrd="1" destOrd="0" presId="urn:microsoft.com/office/officeart/2005/8/layout/default"/>
    <dgm:cxn modelId="{8F4634E6-4081-4219-B9B2-D17708E57EBC}" type="presParOf" srcId="{5D88D0BF-8304-4580-8A83-D95DD0FAE1D7}" destId="{63453562-9800-4319-861C-0C785CD1D8B4}" srcOrd="2" destOrd="0" presId="urn:microsoft.com/office/officeart/2005/8/layout/default"/>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765ECB8-6349-4BE0-BE64-37D8531085FD}"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670C0EDA-EBB7-47CE-80CD-8AB683FA970E}">
      <dgm:prSet phldrT="[Text]" custT="1"/>
      <dgm:spPr>
        <a:xfrm>
          <a:off x="805"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3200">
              <a:solidFill>
                <a:sysClr val="window" lastClr="FFFFFF"/>
              </a:solidFill>
              <a:latin typeface="Calibri" panose="020F0502020204030204"/>
              <a:ea typeface="+mn-ea"/>
              <a:cs typeface="+mn-cs"/>
            </a:rPr>
            <a:t>Communications: outreach, forums, publicity</a:t>
          </a:r>
        </a:p>
      </dgm:t>
    </dgm:pt>
    <dgm:pt modelId="{F0D77E5C-AC3B-48A2-9A86-39D152475E62}" type="parTrans" cxnId="{B08CDFBB-4745-454A-8C2A-759D5E3296F2}">
      <dgm:prSet/>
      <dgm:spPr/>
      <dgm:t>
        <a:bodyPr/>
        <a:lstStyle/>
        <a:p>
          <a:endParaRPr lang="en-GB"/>
        </a:p>
      </dgm:t>
    </dgm:pt>
    <dgm:pt modelId="{1E517570-2647-42F2-A147-2C7250E1DF72}" type="sibTrans" cxnId="{B08CDFBB-4745-454A-8C2A-759D5E3296F2}">
      <dgm:prSet/>
      <dgm:spPr/>
      <dgm:t>
        <a:bodyPr/>
        <a:lstStyle/>
        <a:p>
          <a:endParaRPr lang="en-GB"/>
        </a:p>
      </dgm:t>
    </dgm:pt>
    <dgm:pt modelId="{EDE11B54-FBA4-47AA-B986-D8FD48D544A3}">
      <dgm:prSet phldrT="[Text]"/>
      <dgm:spPr>
        <a:xfrm>
          <a:off x="3457536"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This year we found ways to communicate with new audiences</a:t>
          </a:r>
        </a:p>
      </dgm:t>
    </dgm:pt>
    <dgm:pt modelId="{20A18EB7-2D6B-496F-85CC-4D8566B58849}" type="parTrans" cxnId="{EBDEE0F9-C7D0-405A-B6BC-3A4B7A6B9029}">
      <dgm:prSet/>
      <dgm:spPr/>
      <dgm:t>
        <a:bodyPr/>
        <a:lstStyle/>
        <a:p>
          <a:endParaRPr lang="en-GB"/>
        </a:p>
      </dgm:t>
    </dgm:pt>
    <dgm:pt modelId="{FFBE9181-8520-499B-A779-D366D6B0A569}" type="sibTrans" cxnId="{EBDEE0F9-C7D0-405A-B6BC-3A4B7A6B9029}">
      <dgm:prSet/>
      <dgm:spPr/>
      <dgm:t>
        <a:bodyPr/>
        <a:lstStyle/>
        <a:p>
          <a:endParaRPr lang="en-GB"/>
        </a:p>
      </dgm:t>
    </dgm:pt>
    <dgm:pt modelId="{5D88D0BF-8304-4580-8A83-D95DD0FAE1D7}" type="pres">
      <dgm:prSet presAssocID="{3765ECB8-6349-4BE0-BE64-37D8531085FD}" presName="diagram" presStyleCnt="0">
        <dgm:presLayoutVars>
          <dgm:dir/>
          <dgm:resizeHandles val="exact"/>
        </dgm:presLayoutVars>
      </dgm:prSet>
      <dgm:spPr/>
    </dgm:pt>
    <dgm:pt modelId="{5298F081-5478-4193-8937-552F7098F85B}" type="pres">
      <dgm:prSet presAssocID="{670C0EDA-EBB7-47CE-80CD-8AB683FA970E}" presName="node" presStyleLbl="node1" presStyleIdx="0" presStyleCnt="2">
        <dgm:presLayoutVars>
          <dgm:bulletEnabled val="1"/>
        </dgm:presLayoutVars>
      </dgm:prSet>
      <dgm:spPr/>
    </dgm:pt>
    <dgm:pt modelId="{C4D64226-2EA1-460F-885F-C46D7846F01D}" type="pres">
      <dgm:prSet presAssocID="{1E517570-2647-42F2-A147-2C7250E1DF72}" presName="sibTrans" presStyleCnt="0"/>
      <dgm:spPr/>
    </dgm:pt>
    <dgm:pt modelId="{63453562-9800-4319-861C-0C785CD1D8B4}" type="pres">
      <dgm:prSet presAssocID="{EDE11B54-FBA4-47AA-B986-D8FD48D544A3}" presName="node" presStyleLbl="node1" presStyleIdx="1" presStyleCnt="2">
        <dgm:presLayoutVars>
          <dgm:bulletEnabled val="1"/>
        </dgm:presLayoutVars>
      </dgm:prSet>
      <dgm:spPr/>
    </dgm:pt>
  </dgm:ptLst>
  <dgm:cxnLst>
    <dgm:cxn modelId="{B504B149-E699-4834-9624-2EB141B7B04E}" type="presOf" srcId="{670C0EDA-EBB7-47CE-80CD-8AB683FA970E}" destId="{5298F081-5478-4193-8937-552F7098F85B}" srcOrd="0" destOrd="0" presId="urn:microsoft.com/office/officeart/2005/8/layout/default"/>
    <dgm:cxn modelId="{B08CDFBB-4745-454A-8C2A-759D5E3296F2}" srcId="{3765ECB8-6349-4BE0-BE64-37D8531085FD}" destId="{670C0EDA-EBB7-47CE-80CD-8AB683FA970E}" srcOrd="0" destOrd="0" parTransId="{F0D77E5C-AC3B-48A2-9A86-39D152475E62}" sibTransId="{1E517570-2647-42F2-A147-2C7250E1DF72}"/>
    <dgm:cxn modelId="{D75FF8E1-1D31-40C6-861B-F0E4E6326BEA}" type="presOf" srcId="{EDE11B54-FBA4-47AA-B986-D8FD48D544A3}" destId="{63453562-9800-4319-861C-0C785CD1D8B4}" srcOrd="0" destOrd="0" presId="urn:microsoft.com/office/officeart/2005/8/layout/default"/>
    <dgm:cxn modelId="{EBDEE0F9-C7D0-405A-B6BC-3A4B7A6B9029}" srcId="{3765ECB8-6349-4BE0-BE64-37D8531085FD}" destId="{EDE11B54-FBA4-47AA-B986-D8FD48D544A3}" srcOrd="1" destOrd="0" parTransId="{20A18EB7-2D6B-496F-85CC-4D8566B58849}" sibTransId="{FFBE9181-8520-499B-A779-D366D6B0A569}"/>
    <dgm:cxn modelId="{2AD4F4FE-B4DA-4DC9-BC09-8BF2CA896B0B}" type="presOf" srcId="{3765ECB8-6349-4BE0-BE64-37D8531085FD}" destId="{5D88D0BF-8304-4580-8A83-D95DD0FAE1D7}" srcOrd="0" destOrd="0" presId="urn:microsoft.com/office/officeart/2005/8/layout/default"/>
    <dgm:cxn modelId="{E68370B9-48AE-4524-B0EF-28E6545F2006}" type="presParOf" srcId="{5D88D0BF-8304-4580-8A83-D95DD0FAE1D7}" destId="{5298F081-5478-4193-8937-552F7098F85B}" srcOrd="0" destOrd="0" presId="urn:microsoft.com/office/officeart/2005/8/layout/default"/>
    <dgm:cxn modelId="{092A3DFC-80EE-4A8B-9D95-9AE32FFB257D}" type="presParOf" srcId="{5D88D0BF-8304-4580-8A83-D95DD0FAE1D7}" destId="{C4D64226-2EA1-460F-885F-C46D7846F01D}" srcOrd="1" destOrd="0" presId="urn:microsoft.com/office/officeart/2005/8/layout/default"/>
    <dgm:cxn modelId="{8F4634E6-4081-4219-B9B2-D17708E57EBC}" type="presParOf" srcId="{5D88D0BF-8304-4580-8A83-D95DD0FAE1D7}" destId="{63453562-9800-4319-861C-0C785CD1D8B4}" srcOrd="2" destOrd="0" presId="urn:microsoft.com/office/officeart/2005/8/layout/default"/>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3765ECB8-6349-4BE0-BE64-37D8531085FD}"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670C0EDA-EBB7-47CE-80CD-8AB683FA970E}">
      <dgm:prSet phldrT="[Text]" custT="1"/>
      <dgm:spPr>
        <a:xfrm>
          <a:off x="805"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3200">
              <a:solidFill>
                <a:sysClr val="window" lastClr="FFFFFF"/>
              </a:solidFill>
              <a:latin typeface="Calibri" panose="020F0502020204030204"/>
              <a:ea typeface="+mn-ea"/>
              <a:cs typeface="+mn-cs"/>
            </a:rPr>
            <a:t>Management, planning and coordination</a:t>
          </a:r>
        </a:p>
      </dgm:t>
    </dgm:pt>
    <dgm:pt modelId="{F0D77E5C-AC3B-48A2-9A86-39D152475E62}" type="parTrans" cxnId="{B08CDFBB-4745-454A-8C2A-759D5E3296F2}">
      <dgm:prSet/>
      <dgm:spPr/>
      <dgm:t>
        <a:bodyPr/>
        <a:lstStyle/>
        <a:p>
          <a:endParaRPr lang="en-GB"/>
        </a:p>
      </dgm:t>
    </dgm:pt>
    <dgm:pt modelId="{1E517570-2647-42F2-A147-2C7250E1DF72}" type="sibTrans" cxnId="{B08CDFBB-4745-454A-8C2A-759D5E3296F2}">
      <dgm:prSet/>
      <dgm:spPr/>
      <dgm:t>
        <a:bodyPr/>
        <a:lstStyle/>
        <a:p>
          <a:endParaRPr lang="en-GB"/>
        </a:p>
      </dgm:t>
    </dgm:pt>
    <dgm:pt modelId="{EDE11B54-FBA4-47AA-B986-D8FD48D544A3}">
      <dgm:prSet phldrT="[Text]"/>
      <dgm:spPr>
        <a:xfrm>
          <a:off x="3457536"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This year we </a:t>
          </a:r>
          <a:r>
            <a:rPr lang="en-GB">
              <a:solidFill>
                <a:schemeClr val="bg1"/>
              </a:solidFill>
              <a:latin typeface="Calibri" panose="020F0502020204030204"/>
              <a:ea typeface="+mn-ea"/>
              <a:cs typeface="+mn-cs"/>
            </a:rPr>
            <a:t>supported our partners to develop data strategies</a:t>
          </a:r>
          <a:r>
            <a:rPr lang="en-GB">
              <a:solidFill>
                <a:sysClr val="window" lastClr="FFFFFF"/>
              </a:solidFill>
              <a:latin typeface="Calibri" panose="020F0502020204030204"/>
              <a:ea typeface="+mn-ea"/>
              <a:cs typeface="+mn-cs"/>
            </a:rPr>
            <a:t>.</a:t>
          </a:r>
        </a:p>
      </dgm:t>
    </dgm:pt>
    <dgm:pt modelId="{20A18EB7-2D6B-496F-85CC-4D8566B58849}" type="parTrans" cxnId="{EBDEE0F9-C7D0-405A-B6BC-3A4B7A6B9029}">
      <dgm:prSet/>
      <dgm:spPr/>
      <dgm:t>
        <a:bodyPr/>
        <a:lstStyle/>
        <a:p>
          <a:endParaRPr lang="en-GB"/>
        </a:p>
      </dgm:t>
    </dgm:pt>
    <dgm:pt modelId="{FFBE9181-8520-499B-A779-D366D6B0A569}" type="sibTrans" cxnId="{EBDEE0F9-C7D0-405A-B6BC-3A4B7A6B9029}">
      <dgm:prSet/>
      <dgm:spPr/>
      <dgm:t>
        <a:bodyPr/>
        <a:lstStyle/>
        <a:p>
          <a:endParaRPr lang="en-GB"/>
        </a:p>
      </dgm:t>
    </dgm:pt>
    <dgm:pt modelId="{5D88D0BF-8304-4580-8A83-D95DD0FAE1D7}" type="pres">
      <dgm:prSet presAssocID="{3765ECB8-6349-4BE0-BE64-37D8531085FD}" presName="diagram" presStyleCnt="0">
        <dgm:presLayoutVars>
          <dgm:dir/>
          <dgm:resizeHandles val="exact"/>
        </dgm:presLayoutVars>
      </dgm:prSet>
      <dgm:spPr/>
    </dgm:pt>
    <dgm:pt modelId="{5298F081-5478-4193-8937-552F7098F85B}" type="pres">
      <dgm:prSet presAssocID="{670C0EDA-EBB7-47CE-80CD-8AB683FA970E}" presName="node" presStyleLbl="node1" presStyleIdx="0" presStyleCnt="2">
        <dgm:presLayoutVars>
          <dgm:bulletEnabled val="1"/>
        </dgm:presLayoutVars>
      </dgm:prSet>
      <dgm:spPr/>
    </dgm:pt>
    <dgm:pt modelId="{C4D64226-2EA1-460F-885F-C46D7846F01D}" type="pres">
      <dgm:prSet presAssocID="{1E517570-2647-42F2-A147-2C7250E1DF72}" presName="sibTrans" presStyleCnt="0"/>
      <dgm:spPr/>
    </dgm:pt>
    <dgm:pt modelId="{63453562-9800-4319-861C-0C785CD1D8B4}" type="pres">
      <dgm:prSet presAssocID="{EDE11B54-FBA4-47AA-B986-D8FD48D544A3}" presName="node" presStyleLbl="node1" presStyleIdx="1" presStyleCnt="2">
        <dgm:presLayoutVars>
          <dgm:bulletEnabled val="1"/>
        </dgm:presLayoutVars>
      </dgm:prSet>
      <dgm:spPr/>
    </dgm:pt>
  </dgm:ptLst>
  <dgm:cxnLst>
    <dgm:cxn modelId="{B504B149-E699-4834-9624-2EB141B7B04E}" type="presOf" srcId="{670C0EDA-EBB7-47CE-80CD-8AB683FA970E}" destId="{5298F081-5478-4193-8937-552F7098F85B}" srcOrd="0" destOrd="0" presId="urn:microsoft.com/office/officeart/2005/8/layout/default"/>
    <dgm:cxn modelId="{B08CDFBB-4745-454A-8C2A-759D5E3296F2}" srcId="{3765ECB8-6349-4BE0-BE64-37D8531085FD}" destId="{670C0EDA-EBB7-47CE-80CD-8AB683FA970E}" srcOrd="0" destOrd="0" parTransId="{F0D77E5C-AC3B-48A2-9A86-39D152475E62}" sibTransId="{1E517570-2647-42F2-A147-2C7250E1DF72}"/>
    <dgm:cxn modelId="{D75FF8E1-1D31-40C6-861B-F0E4E6326BEA}" type="presOf" srcId="{EDE11B54-FBA4-47AA-B986-D8FD48D544A3}" destId="{63453562-9800-4319-861C-0C785CD1D8B4}" srcOrd="0" destOrd="0" presId="urn:microsoft.com/office/officeart/2005/8/layout/default"/>
    <dgm:cxn modelId="{EBDEE0F9-C7D0-405A-B6BC-3A4B7A6B9029}" srcId="{3765ECB8-6349-4BE0-BE64-37D8531085FD}" destId="{EDE11B54-FBA4-47AA-B986-D8FD48D544A3}" srcOrd="1" destOrd="0" parTransId="{20A18EB7-2D6B-496F-85CC-4D8566B58849}" sibTransId="{FFBE9181-8520-499B-A779-D366D6B0A569}"/>
    <dgm:cxn modelId="{2AD4F4FE-B4DA-4DC9-BC09-8BF2CA896B0B}" type="presOf" srcId="{3765ECB8-6349-4BE0-BE64-37D8531085FD}" destId="{5D88D0BF-8304-4580-8A83-D95DD0FAE1D7}" srcOrd="0" destOrd="0" presId="urn:microsoft.com/office/officeart/2005/8/layout/default"/>
    <dgm:cxn modelId="{E68370B9-48AE-4524-B0EF-28E6545F2006}" type="presParOf" srcId="{5D88D0BF-8304-4580-8A83-D95DD0FAE1D7}" destId="{5298F081-5478-4193-8937-552F7098F85B}" srcOrd="0" destOrd="0" presId="urn:microsoft.com/office/officeart/2005/8/layout/default"/>
    <dgm:cxn modelId="{092A3DFC-80EE-4A8B-9D95-9AE32FFB257D}" type="presParOf" srcId="{5D88D0BF-8304-4580-8A83-D95DD0FAE1D7}" destId="{C4D64226-2EA1-460F-885F-C46D7846F01D}" srcOrd="1" destOrd="0" presId="urn:microsoft.com/office/officeart/2005/8/layout/default"/>
    <dgm:cxn modelId="{8F4634E6-4081-4219-B9B2-D17708E57EBC}" type="presParOf" srcId="{5D88D0BF-8304-4580-8A83-D95DD0FAE1D7}" destId="{63453562-9800-4319-861C-0C785CD1D8B4}" srcOrd="2" destOrd="0" presId="urn:microsoft.com/office/officeart/2005/8/layout/default"/>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3765ECB8-6349-4BE0-BE64-37D8531085FD}"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670C0EDA-EBB7-47CE-80CD-8AB683FA970E}">
      <dgm:prSet phldrT="[Text]" custT="1"/>
      <dgm:spPr>
        <a:xfrm>
          <a:off x="805"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3200"/>
            <a:t>With thanks to our 2020-21 sponsors,</a:t>
          </a:r>
          <a:endParaRPr lang="en-GB" sz="3200">
            <a:solidFill>
              <a:sysClr val="window" lastClr="FFFFFF"/>
            </a:solidFill>
            <a:latin typeface="Calibri" panose="020F0502020204030204"/>
            <a:ea typeface="+mn-ea"/>
            <a:cs typeface="+mn-cs"/>
          </a:endParaRPr>
        </a:p>
      </dgm:t>
    </dgm:pt>
    <dgm:pt modelId="{F0D77E5C-AC3B-48A2-9A86-39D152475E62}" type="parTrans" cxnId="{B08CDFBB-4745-454A-8C2A-759D5E3296F2}">
      <dgm:prSet/>
      <dgm:spPr/>
      <dgm:t>
        <a:bodyPr/>
        <a:lstStyle/>
        <a:p>
          <a:endParaRPr lang="en-GB"/>
        </a:p>
      </dgm:t>
    </dgm:pt>
    <dgm:pt modelId="{1E517570-2647-42F2-A147-2C7250E1DF72}" type="sibTrans" cxnId="{B08CDFBB-4745-454A-8C2A-759D5E3296F2}">
      <dgm:prSet/>
      <dgm:spPr/>
      <dgm:t>
        <a:bodyPr/>
        <a:lstStyle/>
        <a:p>
          <a:endParaRPr lang="en-GB"/>
        </a:p>
      </dgm:t>
    </dgm:pt>
    <dgm:pt modelId="{EDE11B54-FBA4-47AA-B986-D8FD48D544A3}">
      <dgm:prSet phldrT="[Text]"/>
      <dgm:spPr>
        <a:xfrm>
          <a:off x="3457536"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and to all our partners working with us to deliver MEDIN's vision.</a:t>
          </a:r>
        </a:p>
      </dgm:t>
    </dgm:pt>
    <dgm:pt modelId="{20A18EB7-2D6B-496F-85CC-4D8566B58849}" type="parTrans" cxnId="{EBDEE0F9-C7D0-405A-B6BC-3A4B7A6B9029}">
      <dgm:prSet/>
      <dgm:spPr/>
      <dgm:t>
        <a:bodyPr/>
        <a:lstStyle/>
        <a:p>
          <a:endParaRPr lang="en-GB"/>
        </a:p>
      </dgm:t>
    </dgm:pt>
    <dgm:pt modelId="{FFBE9181-8520-499B-A779-D366D6B0A569}" type="sibTrans" cxnId="{EBDEE0F9-C7D0-405A-B6BC-3A4B7A6B9029}">
      <dgm:prSet/>
      <dgm:spPr/>
      <dgm:t>
        <a:bodyPr/>
        <a:lstStyle/>
        <a:p>
          <a:endParaRPr lang="en-GB"/>
        </a:p>
      </dgm:t>
    </dgm:pt>
    <dgm:pt modelId="{5D88D0BF-8304-4580-8A83-D95DD0FAE1D7}" type="pres">
      <dgm:prSet presAssocID="{3765ECB8-6349-4BE0-BE64-37D8531085FD}" presName="diagram" presStyleCnt="0">
        <dgm:presLayoutVars>
          <dgm:dir/>
          <dgm:resizeHandles val="exact"/>
        </dgm:presLayoutVars>
      </dgm:prSet>
      <dgm:spPr/>
    </dgm:pt>
    <dgm:pt modelId="{5298F081-5478-4193-8937-552F7098F85B}" type="pres">
      <dgm:prSet presAssocID="{670C0EDA-EBB7-47CE-80CD-8AB683FA970E}" presName="node" presStyleLbl="node1" presStyleIdx="0" presStyleCnt="2">
        <dgm:presLayoutVars>
          <dgm:bulletEnabled val="1"/>
        </dgm:presLayoutVars>
      </dgm:prSet>
      <dgm:spPr/>
    </dgm:pt>
    <dgm:pt modelId="{C4D64226-2EA1-460F-885F-C46D7846F01D}" type="pres">
      <dgm:prSet presAssocID="{1E517570-2647-42F2-A147-2C7250E1DF72}" presName="sibTrans" presStyleCnt="0"/>
      <dgm:spPr/>
    </dgm:pt>
    <dgm:pt modelId="{63453562-9800-4319-861C-0C785CD1D8B4}" type="pres">
      <dgm:prSet presAssocID="{EDE11B54-FBA4-47AA-B986-D8FD48D544A3}" presName="node" presStyleLbl="node1" presStyleIdx="1" presStyleCnt="2">
        <dgm:presLayoutVars>
          <dgm:bulletEnabled val="1"/>
        </dgm:presLayoutVars>
      </dgm:prSet>
      <dgm:spPr/>
    </dgm:pt>
  </dgm:ptLst>
  <dgm:cxnLst>
    <dgm:cxn modelId="{B504B149-E699-4834-9624-2EB141B7B04E}" type="presOf" srcId="{670C0EDA-EBB7-47CE-80CD-8AB683FA970E}" destId="{5298F081-5478-4193-8937-552F7098F85B}" srcOrd="0" destOrd="0" presId="urn:microsoft.com/office/officeart/2005/8/layout/default"/>
    <dgm:cxn modelId="{B08CDFBB-4745-454A-8C2A-759D5E3296F2}" srcId="{3765ECB8-6349-4BE0-BE64-37D8531085FD}" destId="{670C0EDA-EBB7-47CE-80CD-8AB683FA970E}" srcOrd="0" destOrd="0" parTransId="{F0D77E5C-AC3B-48A2-9A86-39D152475E62}" sibTransId="{1E517570-2647-42F2-A147-2C7250E1DF72}"/>
    <dgm:cxn modelId="{D75FF8E1-1D31-40C6-861B-F0E4E6326BEA}" type="presOf" srcId="{EDE11B54-FBA4-47AA-B986-D8FD48D544A3}" destId="{63453562-9800-4319-861C-0C785CD1D8B4}" srcOrd="0" destOrd="0" presId="urn:microsoft.com/office/officeart/2005/8/layout/default"/>
    <dgm:cxn modelId="{EBDEE0F9-C7D0-405A-B6BC-3A4B7A6B9029}" srcId="{3765ECB8-6349-4BE0-BE64-37D8531085FD}" destId="{EDE11B54-FBA4-47AA-B986-D8FD48D544A3}" srcOrd="1" destOrd="0" parTransId="{20A18EB7-2D6B-496F-85CC-4D8566B58849}" sibTransId="{FFBE9181-8520-499B-A779-D366D6B0A569}"/>
    <dgm:cxn modelId="{2AD4F4FE-B4DA-4DC9-BC09-8BF2CA896B0B}" type="presOf" srcId="{3765ECB8-6349-4BE0-BE64-37D8531085FD}" destId="{5D88D0BF-8304-4580-8A83-D95DD0FAE1D7}" srcOrd="0" destOrd="0" presId="urn:microsoft.com/office/officeart/2005/8/layout/default"/>
    <dgm:cxn modelId="{E68370B9-48AE-4524-B0EF-28E6545F2006}" type="presParOf" srcId="{5D88D0BF-8304-4580-8A83-D95DD0FAE1D7}" destId="{5298F081-5478-4193-8937-552F7098F85B}" srcOrd="0" destOrd="0" presId="urn:microsoft.com/office/officeart/2005/8/layout/default"/>
    <dgm:cxn modelId="{092A3DFC-80EE-4A8B-9D95-9AE32FFB257D}" type="presParOf" srcId="{5D88D0BF-8304-4580-8A83-D95DD0FAE1D7}" destId="{C4D64226-2EA1-460F-885F-C46D7846F01D}" srcOrd="1" destOrd="0" presId="urn:microsoft.com/office/officeart/2005/8/layout/default"/>
    <dgm:cxn modelId="{8F4634E6-4081-4219-B9B2-D17708E57EBC}" type="presParOf" srcId="{5D88D0BF-8304-4580-8A83-D95DD0FAE1D7}" destId="{63453562-9800-4319-861C-0C785CD1D8B4}" srcOrd="2" destOrd="0" presId="urn:microsoft.com/office/officeart/2005/8/layout/default"/>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1186256-3D69-4EEF-AF5B-86AA4481F298}" type="doc">
      <dgm:prSet loTypeId="urn:microsoft.com/office/officeart/2005/8/layout/vList4" loCatId="picture" qsTypeId="urn:microsoft.com/office/officeart/2005/8/quickstyle/simple1" qsCatId="simple" csTypeId="urn:microsoft.com/office/officeart/2005/8/colors/accent3_1" csCatId="accent3" phldr="1"/>
      <dgm:spPr/>
      <dgm:t>
        <a:bodyPr/>
        <a:lstStyle/>
        <a:p>
          <a:endParaRPr lang="en-GB"/>
        </a:p>
      </dgm:t>
    </dgm:pt>
    <dgm:pt modelId="{F14E2D80-88C7-4CA2-B83A-8F8BDA248BC0}">
      <dgm:prSet phldrT="[Text]" custT="1"/>
      <dgm:spPr/>
      <dgm:t>
        <a:bodyPr/>
        <a:lstStyle/>
        <a:p>
          <a:r>
            <a:rPr lang="en-GB" sz="2800" i="1"/>
            <a:t>Access to marine datasets</a:t>
          </a:r>
        </a:p>
        <a:p>
          <a:r>
            <a:rPr lang="en-GB" sz="1100"/>
            <a:t>We provide a single place to find UK marine environmental data. In March 2021, the MEDIN portal described and provided accesss to 15,693 marine datasets, owned or managed by over 600 public and private sector organisations. </a:t>
          </a:r>
          <a:r>
            <a:rPr lang="en-GB" sz="1100" i="1"/>
            <a:t>Read more on page 16.</a:t>
          </a:r>
          <a:endParaRPr lang="en-GB" sz="1100"/>
        </a:p>
      </dgm:t>
    </dgm:pt>
    <dgm:pt modelId="{61FBF8B9-2A58-4C4F-A30A-0BE937F9A21D}" type="parTrans" cxnId="{7DB36DB5-AE9F-4B0C-B1A5-DAA8695A7725}">
      <dgm:prSet/>
      <dgm:spPr/>
      <dgm:t>
        <a:bodyPr/>
        <a:lstStyle/>
        <a:p>
          <a:endParaRPr lang="en-GB"/>
        </a:p>
      </dgm:t>
    </dgm:pt>
    <dgm:pt modelId="{00A9BB10-E88A-45E8-A592-1DD1405E718C}" type="sibTrans" cxnId="{7DB36DB5-AE9F-4B0C-B1A5-DAA8695A7725}">
      <dgm:prSet/>
      <dgm:spPr/>
      <dgm:t>
        <a:bodyPr/>
        <a:lstStyle/>
        <a:p>
          <a:endParaRPr lang="en-GB"/>
        </a:p>
      </dgm:t>
    </dgm:pt>
    <dgm:pt modelId="{2BC6058F-1BA3-4624-B228-AB0F39EA0340}">
      <dgm:prSet phldrT="[Text]" custT="1"/>
      <dgm:spPr/>
      <dgm:t>
        <a:bodyPr/>
        <a:lstStyle/>
        <a:p>
          <a:r>
            <a:rPr lang="en-GB" sz="2800" i="1"/>
            <a:t>Data managed by specialists</a:t>
          </a:r>
        </a:p>
        <a:p>
          <a:r>
            <a:rPr lang="en-GB" sz="1100"/>
            <a:t>We coordinate a network of specialist Data Archive Centres (DACs) that provide long-term, interoperable access to UK marine data. Our data centres are working towards international accreditation called Core Trust Seal and this year received over 1.6 million requests for marine data, nearly double the requests last year. </a:t>
          </a:r>
          <a:r>
            <a:rPr lang="en-GB" sz="1100" i="1"/>
            <a:t>Read more on page 12.</a:t>
          </a:r>
          <a:endParaRPr lang="en-GB" sz="1100"/>
        </a:p>
      </dgm:t>
    </dgm:pt>
    <dgm:pt modelId="{67853AAC-91CC-400A-B97B-1CCD97807593}" type="parTrans" cxnId="{ACFACD35-0B45-4E81-969C-5C15A3EEAD74}">
      <dgm:prSet/>
      <dgm:spPr/>
      <dgm:t>
        <a:bodyPr/>
        <a:lstStyle/>
        <a:p>
          <a:endParaRPr lang="en-GB"/>
        </a:p>
      </dgm:t>
    </dgm:pt>
    <dgm:pt modelId="{4531A232-414D-40F6-863F-DCEE2610EC2D}" type="sibTrans" cxnId="{ACFACD35-0B45-4E81-969C-5C15A3EEAD74}">
      <dgm:prSet/>
      <dgm:spPr/>
      <dgm:t>
        <a:bodyPr/>
        <a:lstStyle/>
        <a:p>
          <a:endParaRPr lang="en-GB"/>
        </a:p>
      </dgm:t>
    </dgm:pt>
    <dgm:pt modelId="{B007DA8F-5B8C-47B6-8DB1-3157AB5733F6}">
      <dgm:prSet phldrT="[Text]" custT="1"/>
      <dgm:spPr/>
      <dgm:t>
        <a:bodyPr/>
        <a:lstStyle/>
        <a:p>
          <a:r>
            <a:rPr lang="en-GB" sz="2800" i="1"/>
            <a:t>Marine data standards</a:t>
          </a:r>
        </a:p>
        <a:p>
          <a:r>
            <a:rPr lang="en-GB" sz="1100"/>
            <a:t>We provide a standardised way for the UK marine community to describe the data they collect. This year we developed a suite of online training material to explain how to use our metadata standard and data guidelines to make your marine data findable, accessile, interoperable and reusable. </a:t>
          </a:r>
          <a:r>
            <a:rPr lang="en-GB" sz="1100" i="1"/>
            <a:t>Read more on page 14.</a:t>
          </a:r>
          <a:endParaRPr lang="en-GB" sz="1100"/>
        </a:p>
      </dgm:t>
    </dgm:pt>
    <dgm:pt modelId="{4FEF8338-9620-4BF6-8489-C441A81F8339}" type="parTrans" cxnId="{2EFDDC03-4F47-4FC1-BE9D-CDE54596B138}">
      <dgm:prSet/>
      <dgm:spPr/>
      <dgm:t>
        <a:bodyPr/>
        <a:lstStyle/>
        <a:p>
          <a:endParaRPr lang="en-GB"/>
        </a:p>
      </dgm:t>
    </dgm:pt>
    <dgm:pt modelId="{EABD774A-E4A9-4931-9955-8A6097885782}" type="sibTrans" cxnId="{2EFDDC03-4F47-4FC1-BE9D-CDE54596B138}">
      <dgm:prSet/>
      <dgm:spPr/>
      <dgm:t>
        <a:bodyPr/>
        <a:lstStyle/>
        <a:p>
          <a:endParaRPr lang="en-GB"/>
        </a:p>
      </dgm:t>
    </dgm:pt>
    <dgm:pt modelId="{B32E2AC0-DF7E-41A3-84E0-321F6404EAA3}">
      <dgm:prSet custT="1"/>
      <dgm:spPr/>
      <dgm:t>
        <a:bodyPr/>
        <a:lstStyle/>
        <a:p>
          <a:r>
            <a:rPr lang="en-GB" sz="2800" i="1"/>
            <a:t>Marine policy</a:t>
          </a:r>
        </a:p>
        <a:p>
          <a:r>
            <a:rPr lang="en-GB" sz="1100"/>
            <a:t>We provide expert advice to government departments and agencies, supporting the UK Marine Monitoring and Assessment Strategy (UKMMAS) community. This year we developed a data strategy for the UKMMAS community to support transparent access to the data used in national and international reporting.  </a:t>
          </a:r>
          <a:r>
            <a:rPr lang="en-GB" sz="1100" i="1"/>
            <a:t>Read more on page 25.</a:t>
          </a:r>
          <a:endParaRPr lang="en-GB" sz="1100"/>
        </a:p>
      </dgm:t>
    </dgm:pt>
    <dgm:pt modelId="{D9F40E1D-9A58-4EF8-950C-5B3FCFA0B219}" type="parTrans" cxnId="{14278F75-7F15-4E14-89DA-8B4CB0AC2EA3}">
      <dgm:prSet/>
      <dgm:spPr/>
      <dgm:t>
        <a:bodyPr/>
        <a:lstStyle/>
        <a:p>
          <a:endParaRPr lang="en-GB"/>
        </a:p>
      </dgm:t>
    </dgm:pt>
    <dgm:pt modelId="{DBADFD4C-DF3F-4C87-8513-94BCCA911201}" type="sibTrans" cxnId="{14278F75-7F15-4E14-89DA-8B4CB0AC2EA3}">
      <dgm:prSet/>
      <dgm:spPr/>
      <dgm:t>
        <a:bodyPr/>
        <a:lstStyle/>
        <a:p>
          <a:endParaRPr lang="en-GB"/>
        </a:p>
      </dgm:t>
    </dgm:pt>
    <dgm:pt modelId="{69B5172B-9EE8-4D8F-B29C-BC8ED1C89AB6}">
      <dgm:prSet custT="1"/>
      <dgm:spPr/>
      <dgm:t>
        <a:bodyPr/>
        <a:lstStyle/>
        <a:p>
          <a:r>
            <a:rPr lang="en-GB" sz="2800" i="1"/>
            <a:t>Value chains</a:t>
          </a:r>
        </a:p>
        <a:p>
          <a:r>
            <a:rPr lang="en-GB" sz="1100" i="0"/>
            <a:t>We provide access to a wide range of marine data. This year we collaborated with the Organisation for Economic Co-operation and Development (OECD) and the Global Ocean Observing System (GOOS) to explore the value chains in marine data availble from our Data Archive Centres. </a:t>
          </a:r>
          <a:r>
            <a:rPr lang="en-GB" sz="1100" i="1"/>
            <a:t>Read more on page 20.</a:t>
          </a:r>
        </a:p>
      </dgm:t>
    </dgm:pt>
    <dgm:pt modelId="{1CB5459D-B710-463C-94D8-6D4FC4E4E7B6}" type="parTrans" cxnId="{80FE1BA8-01F5-482C-A26E-AF049375BB7D}">
      <dgm:prSet/>
      <dgm:spPr/>
      <dgm:t>
        <a:bodyPr/>
        <a:lstStyle/>
        <a:p>
          <a:endParaRPr lang="en-GB"/>
        </a:p>
      </dgm:t>
    </dgm:pt>
    <dgm:pt modelId="{22AF8258-79E4-48C8-A1C3-0A5B855E991A}" type="sibTrans" cxnId="{80FE1BA8-01F5-482C-A26E-AF049375BB7D}">
      <dgm:prSet/>
      <dgm:spPr/>
      <dgm:t>
        <a:bodyPr/>
        <a:lstStyle/>
        <a:p>
          <a:endParaRPr lang="en-GB"/>
        </a:p>
      </dgm:t>
    </dgm:pt>
    <dgm:pt modelId="{69DC7D94-83FA-4696-96DB-E32A1A54EDDF}">
      <dgm:prSet/>
      <dgm:spPr/>
      <dgm:t>
        <a:bodyPr/>
        <a:lstStyle/>
        <a:p>
          <a:endParaRPr lang="en-GB" sz="1000"/>
        </a:p>
      </dgm:t>
    </dgm:pt>
    <dgm:pt modelId="{154F9AE1-0822-4D8C-9F48-4B65FB7DD7F3}" type="parTrans" cxnId="{3788B27C-00E4-49C7-84D9-C2FAF33167E4}">
      <dgm:prSet/>
      <dgm:spPr/>
      <dgm:t>
        <a:bodyPr/>
        <a:lstStyle/>
        <a:p>
          <a:endParaRPr lang="en-GB"/>
        </a:p>
      </dgm:t>
    </dgm:pt>
    <dgm:pt modelId="{D6A19C4A-54E2-4756-AFF9-C93C6CF24639}" type="sibTrans" cxnId="{3788B27C-00E4-49C7-84D9-C2FAF33167E4}">
      <dgm:prSet/>
      <dgm:spPr/>
      <dgm:t>
        <a:bodyPr/>
        <a:lstStyle/>
        <a:p>
          <a:endParaRPr lang="en-GB"/>
        </a:p>
      </dgm:t>
    </dgm:pt>
    <dgm:pt modelId="{F6F0D9DA-0B57-44A9-BE2E-49357004BA4A}" type="pres">
      <dgm:prSet presAssocID="{B1186256-3D69-4EEF-AF5B-86AA4481F298}" presName="linear" presStyleCnt="0">
        <dgm:presLayoutVars>
          <dgm:dir/>
          <dgm:resizeHandles val="exact"/>
        </dgm:presLayoutVars>
      </dgm:prSet>
      <dgm:spPr/>
    </dgm:pt>
    <dgm:pt modelId="{77E2298D-0C07-40CF-9EBD-BF9DFEEDB976}" type="pres">
      <dgm:prSet presAssocID="{F14E2D80-88C7-4CA2-B83A-8F8BDA248BC0}" presName="comp" presStyleCnt="0"/>
      <dgm:spPr/>
    </dgm:pt>
    <dgm:pt modelId="{E82ACCF4-EE95-4231-96C1-AF49044257E3}" type="pres">
      <dgm:prSet presAssocID="{F14E2D80-88C7-4CA2-B83A-8F8BDA248BC0}" presName="box" presStyleLbl="node1" presStyleIdx="0" presStyleCnt="5"/>
      <dgm:spPr/>
    </dgm:pt>
    <dgm:pt modelId="{CE879D3F-C144-41AD-BE35-7CBC54C3CB54}" type="pres">
      <dgm:prSet presAssocID="{F14E2D80-88C7-4CA2-B83A-8F8BDA248BC0}" presName="img" presStyleLbl="fgImgPlace1" presStyleIdx="0" presStyleCnt="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6000" r="-6000"/>
          </a:stretch>
        </a:blipFill>
      </dgm:spPr>
    </dgm:pt>
    <dgm:pt modelId="{EBD4AE58-6FEF-4A74-AFB1-78D2BC166073}" type="pres">
      <dgm:prSet presAssocID="{F14E2D80-88C7-4CA2-B83A-8F8BDA248BC0}" presName="text" presStyleLbl="node1" presStyleIdx="0" presStyleCnt="5">
        <dgm:presLayoutVars>
          <dgm:bulletEnabled val="1"/>
        </dgm:presLayoutVars>
      </dgm:prSet>
      <dgm:spPr/>
    </dgm:pt>
    <dgm:pt modelId="{F580CC59-5F45-4167-9259-E5AECBA6D446}" type="pres">
      <dgm:prSet presAssocID="{00A9BB10-E88A-45E8-A592-1DD1405E718C}" presName="spacer" presStyleCnt="0"/>
      <dgm:spPr/>
    </dgm:pt>
    <dgm:pt modelId="{4442F0C7-24A2-474B-BD9C-8F7E441D5835}" type="pres">
      <dgm:prSet presAssocID="{2BC6058F-1BA3-4624-B228-AB0F39EA0340}" presName="comp" presStyleCnt="0"/>
      <dgm:spPr/>
    </dgm:pt>
    <dgm:pt modelId="{2495F5A3-1ACA-42D5-A424-72A2EAE83B5A}" type="pres">
      <dgm:prSet presAssocID="{2BC6058F-1BA3-4624-B228-AB0F39EA0340}" presName="box" presStyleLbl="node1" presStyleIdx="1" presStyleCnt="5"/>
      <dgm:spPr/>
    </dgm:pt>
    <dgm:pt modelId="{25D6C2AF-D351-41D8-A41B-7B5A1793E864}" type="pres">
      <dgm:prSet presAssocID="{2BC6058F-1BA3-4624-B228-AB0F39EA0340}" presName="img" presStyleLbl="fgImgPlace1" presStyleIdx="1" presStyleCnt="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6000" r="-6000"/>
          </a:stretch>
        </a:blipFill>
      </dgm:spPr>
    </dgm:pt>
    <dgm:pt modelId="{0E87695C-8621-4331-B900-A779F6E9D7CD}" type="pres">
      <dgm:prSet presAssocID="{2BC6058F-1BA3-4624-B228-AB0F39EA0340}" presName="text" presStyleLbl="node1" presStyleIdx="1" presStyleCnt="5">
        <dgm:presLayoutVars>
          <dgm:bulletEnabled val="1"/>
        </dgm:presLayoutVars>
      </dgm:prSet>
      <dgm:spPr/>
    </dgm:pt>
    <dgm:pt modelId="{3F0DAEEA-6070-4F0A-9F1D-82CA1E48D89F}" type="pres">
      <dgm:prSet presAssocID="{4531A232-414D-40F6-863F-DCEE2610EC2D}" presName="spacer" presStyleCnt="0"/>
      <dgm:spPr/>
    </dgm:pt>
    <dgm:pt modelId="{3DCB7C75-9DA9-44A8-82D8-A9A16BE05B15}" type="pres">
      <dgm:prSet presAssocID="{B007DA8F-5B8C-47B6-8DB1-3157AB5733F6}" presName="comp" presStyleCnt="0"/>
      <dgm:spPr/>
    </dgm:pt>
    <dgm:pt modelId="{441F5F3E-F610-4AC8-86D8-0ECB7D868F53}" type="pres">
      <dgm:prSet presAssocID="{B007DA8F-5B8C-47B6-8DB1-3157AB5733F6}" presName="box" presStyleLbl="node1" presStyleIdx="2" presStyleCnt="5"/>
      <dgm:spPr/>
    </dgm:pt>
    <dgm:pt modelId="{6628210E-E58D-4E01-86F5-3F8A818A0794}" type="pres">
      <dgm:prSet presAssocID="{B007DA8F-5B8C-47B6-8DB1-3157AB5733F6}" presName="img" presStyleLbl="fgImgPlace1" presStyleIdx="2" presStyleCnt="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6000" r="-6000"/>
          </a:stretch>
        </a:blipFill>
      </dgm:spPr>
    </dgm:pt>
    <dgm:pt modelId="{A9B99613-D142-49D7-B5D6-84776A0EF90C}" type="pres">
      <dgm:prSet presAssocID="{B007DA8F-5B8C-47B6-8DB1-3157AB5733F6}" presName="text" presStyleLbl="node1" presStyleIdx="2" presStyleCnt="5">
        <dgm:presLayoutVars>
          <dgm:bulletEnabled val="1"/>
        </dgm:presLayoutVars>
      </dgm:prSet>
      <dgm:spPr/>
    </dgm:pt>
    <dgm:pt modelId="{97B04F06-1E8E-49EB-801B-1CEFE8678050}" type="pres">
      <dgm:prSet presAssocID="{EABD774A-E4A9-4931-9955-8A6097885782}" presName="spacer" presStyleCnt="0"/>
      <dgm:spPr/>
    </dgm:pt>
    <dgm:pt modelId="{9462AAC0-3643-42AE-97C4-67D85CD39967}" type="pres">
      <dgm:prSet presAssocID="{B32E2AC0-DF7E-41A3-84E0-321F6404EAA3}" presName="comp" presStyleCnt="0"/>
      <dgm:spPr/>
    </dgm:pt>
    <dgm:pt modelId="{CACFD44D-FB8D-4988-8DE1-6A3D12F7DF60}" type="pres">
      <dgm:prSet presAssocID="{B32E2AC0-DF7E-41A3-84E0-321F6404EAA3}" presName="box" presStyleLbl="node1" presStyleIdx="3" presStyleCnt="5"/>
      <dgm:spPr/>
    </dgm:pt>
    <dgm:pt modelId="{2B97BD75-C3DC-458E-B162-761C317A93A7}" type="pres">
      <dgm:prSet presAssocID="{B32E2AC0-DF7E-41A3-84E0-321F6404EAA3}" presName="img" presStyleLbl="fgImgPlace1" presStyleIdx="3" presStyleCnt="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6000" r="-6000"/>
          </a:stretch>
        </a:blipFill>
      </dgm:spPr>
    </dgm:pt>
    <dgm:pt modelId="{70F131EA-B96C-499E-AF5B-932E90BB4DFB}" type="pres">
      <dgm:prSet presAssocID="{B32E2AC0-DF7E-41A3-84E0-321F6404EAA3}" presName="text" presStyleLbl="node1" presStyleIdx="3" presStyleCnt="5">
        <dgm:presLayoutVars>
          <dgm:bulletEnabled val="1"/>
        </dgm:presLayoutVars>
      </dgm:prSet>
      <dgm:spPr/>
    </dgm:pt>
    <dgm:pt modelId="{A9DD9DFA-26FF-42EB-A6EE-F536EED10E1E}" type="pres">
      <dgm:prSet presAssocID="{DBADFD4C-DF3F-4C87-8513-94BCCA911201}" presName="spacer" presStyleCnt="0"/>
      <dgm:spPr/>
    </dgm:pt>
    <dgm:pt modelId="{983F61C1-FF3E-4192-B8F4-FE22F6A2EEFD}" type="pres">
      <dgm:prSet presAssocID="{69B5172B-9EE8-4D8F-B29C-BC8ED1C89AB6}" presName="comp" presStyleCnt="0"/>
      <dgm:spPr/>
    </dgm:pt>
    <dgm:pt modelId="{4E0ACA66-6567-4E65-86D4-1F30ED1BD720}" type="pres">
      <dgm:prSet presAssocID="{69B5172B-9EE8-4D8F-B29C-BC8ED1C89AB6}" presName="box" presStyleLbl="node1" presStyleIdx="4" presStyleCnt="5"/>
      <dgm:spPr/>
    </dgm:pt>
    <dgm:pt modelId="{FB0DC1F1-8E07-4464-856F-B903D6284C8A}" type="pres">
      <dgm:prSet presAssocID="{69B5172B-9EE8-4D8F-B29C-BC8ED1C89AB6}" presName="img" presStyleLbl="fgImgPlace1" presStyleIdx="4" presStyleCnt="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6000" r="-6000"/>
          </a:stretch>
        </a:blipFill>
      </dgm:spPr>
    </dgm:pt>
    <dgm:pt modelId="{1169AFA5-6F6A-4385-A354-91D370CC1EAC}" type="pres">
      <dgm:prSet presAssocID="{69B5172B-9EE8-4D8F-B29C-BC8ED1C89AB6}" presName="text" presStyleLbl="node1" presStyleIdx="4" presStyleCnt="5">
        <dgm:presLayoutVars>
          <dgm:bulletEnabled val="1"/>
        </dgm:presLayoutVars>
      </dgm:prSet>
      <dgm:spPr/>
    </dgm:pt>
  </dgm:ptLst>
  <dgm:cxnLst>
    <dgm:cxn modelId="{2EFDDC03-4F47-4FC1-BE9D-CDE54596B138}" srcId="{B1186256-3D69-4EEF-AF5B-86AA4481F298}" destId="{B007DA8F-5B8C-47B6-8DB1-3157AB5733F6}" srcOrd="2" destOrd="0" parTransId="{4FEF8338-9620-4BF6-8489-C441A81F8339}" sibTransId="{EABD774A-E4A9-4931-9955-8A6097885782}"/>
    <dgm:cxn modelId="{7ACB7218-77BC-4F66-8FC7-7C455F12CE2E}" type="presOf" srcId="{69B5172B-9EE8-4D8F-B29C-BC8ED1C89AB6}" destId="{4E0ACA66-6567-4E65-86D4-1F30ED1BD720}" srcOrd="0" destOrd="0" presId="urn:microsoft.com/office/officeart/2005/8/layout/vList4"/>
    <dgm:cxn modelId="{A743422C-8A61-4E91-80A1-A5FE5E24D388}" type="presOf" srcId="{B1186256-3D69-4EEF-AF5B-86AA4481F298}" destId="{F6F0D9DA-0B57-44A9-BE2E-49357004BA4A}" srcOrd="0" destOrd="0" presId="urn:microsoft.com/office/officeart/2005/8/layout/vList4"/>
    <dgm:cxn modelId="{ACFACD35-0B45-4E81-969C-5C15A3EEAD74}" srcId="{B1186256-3D69-4EEF-AF5B-86AA4481F298}" destId="{2BC6058F-1BA3-4624-B228-AB0F39EA0340}" srcOrd="1" destOrd="0" parTransId="{67853AAC-91CC-400A-B97B-1CCD97807593}" sibTransId="{4531A232-414D-40F6-863F-DCEE2610EC2D}"/>
    <dgm:cxn modelId="{5E1B9636-3FD0-40D5-80B9-CF55E5B672F9}" type="presOf" srcId="{B007DA8F-5B8C-47B6-8DB1-3157AB5733F6}" destId="{441F5F3E-F610-4AC8-86D8-0ECB7D868F53}" srcOrd="0" destOrd="0" presId="urn:microsoft.com/office/officeart/2005/8/layout/vList4"/>
    <dgm:cxn modelId="{A0E7173C-C097-4024-85B1-5755EF291012}" type="presOf" srcId="{B32E2AC0-DF7E-41A3-84E0-321F6404EAA3}" destId="{70F131EA-B96C-499E-AF5B-932E90BB4DFB}" srcOrd="1" destOrd="0" presId="urn:microsoft.com/office/officeart/2005/8/layout/vList4"/>
    <dgm:cxn modelId="{52D47E60-FEA3-4C3D-86EF-B4CF9A702EBF}" type="presOf" srcId="{B007DA8F-5B8C-47B6-8DB1-3157AB5733F6}" destId="{A9B99613-D142-49D7-B5D6-84776A0EF90C}" srcOrd="1" destOrd="0" presId="urn:microsoft.com/office/officeart/2005/8/layout/vList4"/>
    <dgm:cxn modelId="{B424F34C-D65D-45F9-91BB-4F26DA691B21}" type="presOf" srcId="{69B5172B-9EE8-4D8F-B29C-BC8ED1C89AB6}" destId="{1169AFA5-6F6A-4385-A354-91D370CC1EAC}" srcOrd="1" destOrd="0" presId="urn:microsoft.com/office/officeart/2005/8/layout/vList4"/>
    <dgm:cxn modelId="{6BD7334D-D57B-417C-8913-09B0526178B6}" type="presOf" srcId="{69DC7D94-83FA-4696-96DB-E32A1A54EDDF}" destId="{4E0ACA66-6567-4E65-86D4-1F30ED1BD720}" srcOrd="0" destOrd="1" presId="urn:microsoft.com/office/officeart/2005/8/layout/vList4"/>
    <dgm:cxn modelId="{14278F75-7F15-4E14-89DA-8B4CB0AC2EA3}" srcId="{B1186256-3D69-4EEF-AF5B-86AA4481F298}" destId="{B32E2AC0-DF7E-41A3-84E0-321F6404EAA3}" srcOrd="3" destOrd="0" parTransId="{D9F40E1D-9A58-4EF8-950C-5B3FCFA0B219}" sibTransId="{DBADFD4C-DF3F-4C87-8513-94BCCA911201}"/>
    <dgm:cxn modelId="{81FFA355-8AAF-4162-B3FE-B578301DB214}" type="presOf" srcId="{2BC6058F-1BA3-4624-B228-AB0F39EA0340}" destId="{0E87695C-8621-4331-B900-A779F6E9D7CD}" srcOrd="1" destOrd="0" presId="urn:microsoft.com/office/officeart/2005/8/layout/vList4"/>
    <dgm:cxn modelId="{3788B27C-00E4-49C7-84D9-C2FAF33167E4}" srcId="{69B5172B-9EE8-4D8F-B29C-BC8ED1C89AB6}" destId="{69DC7D94-83FA-4696-96DB-E32A1A54EDDF}" srcOrd="0" destOrd="0" parTransId="{154F9AE1-0822-4D8C-9F48-4B65FB7DD7F3}" sibTransId="{D6A19C4A-54E2-4756-AFF9-C93C6CF24639}"/>
    <dgm:cxn modelId="{366A3A84-51FC-4DCE-AAEF-2EAF4E6E2200}" type="presOf" srcId="{69DC7D94-83FA-4696-96DB-E32A1A54EDDF}" destId="{1169AFA5-6F6A-4385-A354-91D370CC1EAC}" srcOrd="1" destOrd="1" presId="urn:microsoft.com/office/officeart/2005/8/layout/vList4"/>
    <dgm:cxn modelId="{B02141A3-B46E-4046-8EE0-8B718B3A3340}" type="presOf" srcId="{2BC6058F-1BA3-4624-B228-AB0F39EA0340}" destId="{2495F5A3-1ACA-42D5-A424-72A2EAE83B5A}" srcOrd="0" destOrd="0" presId="urn:microsoft.com/office/officeart/2005/8/layout/vList4"/>
    <dgm:cxn modelId="{80FE1BA8-01F5-482C-A26E-AF049375BB7D}" srcId="{B1186256-3D69-4EEF-AF5B-86AA4481F298}" destId="{69B5172B-9EE8-4D8F-B29C-BC8ED1C89AB6}" srcOrd="4" destOrd="0" parTransId="{1CB5459D-B710-463C-94D8-6D4FC4E4E7B6}" sibTransId="{22AF8258-79E4-48C8-A1C3-0A5B855E991A}"/>
    <dgm:cxn modelId="{0C61DEA9-9416-4D73-B8C1-E84B76AE4895}" type="presOf" srcId="{F14E2D80-88C7-4CA2-B83A-8F8BDA248BC0}" destId="{EBD4AE58-6FEF-4A74-AFB1-78D2BC166073}" srcOrd="1" destOrd="0" presId="urn:microsoft.com/office/officeart/2005/8/layout/vList4"/>
    <dgm:cxn modelId="{7DB36DB5-AE9F-4B0C-B1A5-DAA8695A7725}" srcId="{B1186256-3D69-4EEF-AF5B-86AA4481F298}" destId="{F14E2D80-88C7-4CA2-B83A-8F8BDA248BC0}" srcOrd="0" destOrd="0" parTransId="{61FBF8B9-2A58-4C4F-A30A-0BE937F9A21D}" sibTransId="{00A9BB10-E88A-45E8-A592-1DD1405E718C}"/>
    <dgm:cxn modelId="{845340C1-ED0E-4B8A-8811-97D1A7A70BAD}" type="presOf" srcId="{B32E2AC0-DF7E-41A3-84E0-321F6404EAA3}" destId="{CACFD44D-FB8D-4988-8DE1-6A3D12F7DF60}" srcOrd="0" destOrd="0" presId="urn:microsoft.com/office/officeart/2005/8/layout/vList4"/>
    <dgm:cxn modelId="{F82017CE-34C5-47D4-84B8-F457C80FF67C}" type="presOf" srcId="{F14E2D80-88C7-4CA2-B83A-8F8BDA248BC0}" destId="{E82ACCF4-EE95-4231-96C1-AF49044257E3}" srcOrd="0" destOrd="0" presId="urn:microsoft.com/office/officeart/2005/8/layout/vList4"/>
    <dgm:cxn modelId="{F0AE55D2-313F-4DAF-9936-795E83C67D1A}" type="presParOf" srcId="{F6F0D9DA-0B57-44A9-BE2E-49357004BA4A}" destId="{77E2298D-0C07-40CF-9EBD-BF9DFEEDB976}" srcOrd="0" destOrd="0" presId="urn:microsoft.com/office/officeart/2005/8/layout/vList4"/>
    <dgm:cxn modelId="{3F27E948-6F4F-43EF-9FEE-1BEF519ABE9E}" type="presParOf" srcId="{77E2298D-0C07-40CF-9EBD-BF9DFEEDB976}" destId="{E82ACCF4-EE95-4231-96C1-AF49044257E3}" srcOrd="0" destOrd="0" presId="urn:microsoft.com/office/officeart/2005/8/layout/vList4"/>
    <dgm:cxn modelId="{EC94C631-0D0C-4852-9CD5-0EFDFFC0F8CC}" type="presParOf" srcId="{77E2298D-0C07-40CF-9EBD-BF9DFEEDB976}" destId="{CE879D3F-C144-41AD-BE35-7CBC54C3CB54}" srcOrd="1" destOrd="0" presId="urn:microsoft.com/office/officeart/2005/8/layout/vList4"/>
    <dgm:cxn modelId="{0B7A68EF-0219-4824-AE32-59495D85B65D}" type="presParOf" srcId="{77E2298D-0C07-40CF-9EBD-BF9DFEEDB976}" destId="{EBD4AE58-6FEF-4A74-AFB1-78D2BC166073}" srcOrd="2" destOrd="0" presId="urn:microsoft.com/office/officeart/2005/8/layout/vList4"/>
    <dgm:cxn modelId="{9C1DE1E3-DEA2-4851-B41E-BC7E0CA263F1}" type="presParOf" srcId="{F6F0D9DA-0B57-44A9-BE2E-49357004BA4A}" destId="{F580CC59-5F45-4167-9259-E5AECBA6D446}" srcOrd="1" destOrd="0" presId="urn:microsoft.com/office/officeart/2005/8/layout/vList4"/>
    <dgm:cxn modelId="{FDA959B9-64CE-4BF7-B46E-7CED3C3BEBFE}" type="presParOf" srcId="{F6F0D9DA-0B57-44A9-BE2E-49357004BA4A}" destId="{4442F0C7-24A2-474B-BD9C-8F7E441D5835}" srcOrd="2" destOrd="0" presId="urn:microsoft.com/office/officeart/2005/8/layout/vList4"/>
    <dgm:cxn modelId="{6EFBFB76-DC1B-4EAD-9C2E-4314F60DCBAA}" type="presParOf" srcId="{4442F0C7-24A2-474B-BD9C-8F7E441D5835}" destId="{2495F5A3-1ACA-42D5-A424-72A2EAE83B5A}" srcOrd="0" destOrd="0" presId="urn:microsoft.com/office/officeart/2005/8/layout/vList4"/>
    <dgm:cxn modelId="{1535B452-5B6A-48EA-B296-3B1DCCAB838C}" type="presParOf" srcId="{4442F0C7-24A2-474B-BD9C-8F7E441D5835}" destId="{25D6C2AF-D351-41D8-A41B-7B5A1793E864}" srcOrd="1" destOrd="0" presId="urn:microsoft.com/office/officeart/2005/8/layout/vList4"/>
    <dgm:cxn modelId="{470410B0-7904-4713-8D46-D97C278F4ABE}" type="presParOf" srcId="{4442F0C7-24A2-474B-BD9C-8F7E441D5835}" destId="{0E87695C-8621-4331-B900-A779F6E9D7CD}" srcOrd="2" destOrd="0" presId="urn:microsoft.com/office/officeart/2005/8/layout/vList4"/>
    <dgm:cxn modelId="{529B0D60-3FB7-46BB-85A7-5CA4142D682F}" type="presParOf" srcId="{F6F0D9DA-0B57-44A9-BE2E-49357004BA4A}" destId="{3F0DAEEA-6070-4F0A-9F1D-82CA1E48D89F}" srcOrd="3" destOrd="0" presId="urn:microsoft.com/office/officeart/2005/8/layout/vList4"/>
    <dgm:cxn modelId="{88794A28-18AE-4726-9744-95C0FC6E5400}" type="presParOf" srcId="{F6F0D9DA-0B57-44A9-BE2E-49357004BA4A}" destId="{3DCB7C75-9DA9-44A8-82D8-A9A16BE05B15}" srcOrd="4" destOrd="0" presId="urn:microsoft.com/office/officeart/2005/8/layout/vList4"/>
    <dgm:cxn modelId="{BA18D2AC-E88C-4BA5-BA1E-8B7484D8E7A3}" type="presParOf" srcId="{3DCB7C75-9DA9-44A8-82D8-A9A16BE05B15}" destId="{441F5F3E-F610-4AC8-86D8-0ECB7D868F53}" srcOrd="0" destOrd="0" presId="urn:microsoft.com/office/officeart/2005/8/layout/vList4"/>
    <dgm:cxn modelId="{D641959B-38E4-41BC-9798-1415387093C3}" type="presParOf" srcId="{3DCB7C75-9DA9-44A8-82D8-A9A16BE05B15}" destId="{6628210E-E58D-4E01-86F5-3F8A818A0794}" srcOrd="1" destOrd="0" presId="urn:microsoft.com/office/officeart/2005/8/layout/vList4"/>
    <dgm:cxn modelId="{59BD9378-8436-4E05-8399-E67A6239518A}" type="presParOf" srcId="{3DCB7C75-9DA9-44A8-82D8-A9A16BE05B15}" destId="{A9B99613-D142-49D7-B5D6-84776A0EF90C}" srcOrd="2" destOrd="0" presId="urn:microsoft.com/office/officeart/2005/8/layout/vList4"/>
    <dgm:cxn modelId="{96457AEE-2DC2-460A-A326-13C963873D75}" type="presParOf" srcId="{F6F0D9DA-0B57-44A9-BE2E-49357004BA4A}" destId="{97B04F06-1E8E-49EB-801B-1CEFE8678050}" srcOrd="5" destOrd="0" presId="urn:microsoft.com/office/officeart/2005/8/layout/vList4"/>
    <dgm:cxn modelId="{6E4508C3-812C-4070-AFBD-D880DDB5FF67}" type="presParOf" srcId="{F6F0D9DA-0B57-44A9-BE2E-49357004BA4A}" destId="{9462AAC0-3643-42AE-97C4-67D85CD39967}" srcOrd="6" destOrd="0" presId="urn:microsoft.com/office/officeart/2005/8/layout/vList4"/>
    <dgm:cxn modelId="{0BCDC797-7CC8-4772-949A-E62B2136652D}" type="presParOf" srcId="{9462AAC0-3643-42AE-97C4-67D85CD39967}" destId="{CACFD44D-FB8D-4988-8DE1-6A3D12F7DF60}" srcOrd="0" destOrd="0" presId="urn:microsoft.com/office/officeart/2005/8/layout/vList4"/>
    <dgm:cxn modelId="{7B19E254-914D-462B-AE10-FBC81B80280C}" type="presParOf" srcId="{9462AAC0-3643-42AE-97C4-67D85CD39967}" destId="{2B97BD75-C3DC-458E-B162-761C317A93A7}" srcOrd="1" destOrd="0" presId="urn:microsoft.com/office/officeart/2005/8/layout/vList4"/>
    <dgm:cxn modelId="{530AADCD-C73A-4554-A70C-26209FE21ED9}" type="presParOf" srcId="{9462AAC0-3643-42AE-97C4-67D85CD39967}" destId="{70F131EA-B96C-499E-AF5B-932E90BB4DFB}" srcOrd="2" destOrd="0" presId="urn:microsoft.com/office/officeart/2005/8/layout/vList4"/>
    <dgm:cxn modelId="{BC187275-AA61-4644-A0B7-B6147CF09A11}" type="presParOf" srcId="{F6F0D9DA-0B57-44A9-BE2E-49357004BA4A}" destId="{A9DD9DFA-26FF-42EB-A6EE-F536EED10E1E}" srcOrd="7" destOrd="0" presId="urn:microsoft.com/office/officeart/2005/8/layout/vList4"/>
    <dgm:cxn modelId="{EF1BAD46-AA75-4ED7-89BC-7E16CB3C136D}" type="presParOf" srcId="{F6F0D9DA-0B57-44A9-BE2E-49357004BA4A}" destId="{983F61C1-FF3E-4192-B8F4-FE22F6A2EEFD}" srcOrd="8" destOrd="0" presId="urn:microsoft.com/office/officeart/2005/8/layout/vList4"/>
    <dgm:cxn modelId="{E92FF904-818B-4273-80F2-EBAB4506B951}" type="presParOf" srcId="{983F61C1-FF3E-4192-B8F4-FE22F6A2EEFD}" destId="{4E0ACA66-6567-4E65-86D4-1F30ED1BD720}" srcOrd="0" destOrd="0" presId="urn:microsoft.com/office/officeart/2005/8/layout/vList4"/>
    <dgm:cxn modelId="{350A2767-0D3E-40C3-B356-5F31BFFF35A2}" type="presParOf" srcId="{983F61C1-FF3E-4192-B8F4-FE22F6A2EEFD}" destId="{FB0DC1F1-8E07-4464-856F-B903D6284C8A}" srcOrd="1" destOrd="0" presId="urn:microsoft.com/office/officeart/2005/8/layout/vList4"/>
    <dgm:cxn modelId="{68DDE388-209F-4BCB-BC27-5D7AA74FE919}" type="presParOf" srcId="{983F61C1-FF3E-4192-B8F4-FE22F6A2EEFD}" destId="{1169AFA5-6F6A-4385-A354-91D370CC1EAC}" srcOrd="2" destOrd="0" presId="urn:microsoft.com/office/officeart/2005/8/layout/vList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765ECB8-6349-4BE0-BE64-37D8531085FD}"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670C0EDA-EBB7-47CE-80CD-8AB683FA970E}">
      <dgm:prSet phldrT="[Text]" custT="1"/>
      <dgm:spPr>
        <a:xfrm>
          <a:off x="805"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4000">
              <a:solidFill>
                <a:sysClr val="window" lastClr="FFFFFF"/>
              </a:solidFill>
              <a:latin typeface="Calibri" panose="020F0502020204030204"/>
              <a:ea typeface="+mn-ea"/>
              <a:cs typeface="+mn-cs"/>
            </a:rPr>
            <a:t> Performance</a:t>
          </a:r>
        </a:p>
      </dgm:t>
    </dgm:pt>
    <dgm:pt modelId="{F0D77E5C-AC3B-48A2-9A86-39D152475E62}" type="parTrans" cxnId="{B08CDFBB-4745-454A-8C2A-759D5E3296F2}">
      <dgm:prSet/>
      <dgm:spPr/>
      <dgm:t>
        <a:bodyPr/>
        <a:lstStyle/>
        <a:p>
          <a:endParaRPr lang="en-GB"/>
        </a:p>
      </dgm:t>
    </dgm:pt>
    <dgm:pt modelId="{1E517570-2647-42F2-A147-2C7250E1DF72}" type="sibTrans" cxnId="{B08CDFBB-4745-454A-8C2A-759D5E3296F2}">
      <dgm:prSet/>
      <dgm:spPr/>
      <dgm:t>
        <a:bodyPr/>
        <a:lstStyle/>
        <a:p>
          <a:endParaRPr lang="en-GB"/>
        </a:p>
      </dgm:t>
    </dgm:pt>
    <dgm:pt modelId="{EDE11B54-FBA4-47AA-B986-D8FD48D544A3}">
      <dgm:prSet phldrT="[Text]"/>
      <dgm:spPr>
        <a:xfrm>
          <a:off x="3457536"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This year we successfully delivered the bulk of our planned work despite global uncertainty.</a:t>
          </a:r>
        </a:p>
      </dgm:t>
    </dgm:pt>
    <dgm:pt modelId="{20A18EB7-2D6B-496F-85CC-4D8566B58849}" type="parTrans" cxnId="{EBDEE0F9-C7D0-405A-B6BC-3A4B7A6B9029}">
      <dgm:prSet/>
      <dgm:spPr/>
      <dgm:t>
        <a:bodyPr/>
        <a:lstStyle/>
        <a:p>
          <a:endParaRPr lang="en-GB"/>
        </a:p>
      </dgm:t>
    </dgm:pt>
    <dgm:pt modelId="{FFBE9181-8520-499B-A779-D366D6B0A569}" type="sibTrans" cxnId="{EBDEE0F9-C7D0-405A-B6BC-3A4B7A6B9029}">
      <dgm:prSet/>
      <dgm:spPr/>
      <dgm:t>
        <a:bodyPr/>
        <a:lstStyle/>
        <a:p>
          <a:endParaRPr lang="en-GB"/>
        </a:p>
      </dgm:t>
    </dgm:pt>
    <dgm:pt modelId="{5D88D0BF-8304-4580-8A83-D95DD0FAE1D7}" type="pres">
      <dgm:prSet presAssocID="{3765ECB8-6349-4BE0-BE64-37D8531085FD}" presName="diagram" presStyleCnt="0">
        <dgm:presLayoutVars>
          <dgm:dir/>
          <dgm:resizeHandles val="exact"/>
        </dgm:presLayoutVars>
      </dgm:prSet>
      <dgm:spPr/>
    </dgm:pt>
    <dgm:pt modelId="{5298F081-5478-4193-8937-552F7098F85B}" type="pres">
      <dgm:prSet presAssocID="{670C0EDA-EBB7-47CE-80CD-8AB683FA970E}" presName="node" presStyleLbl="node1" presStyleIdx="0" presStyleCnt="2">
        <dgm:presLayoutVars>
          <dgm:bulletEnabled val="1"/>
        </dgm:presLayoutVars>
      </dgm:prSet>
      <dgm:spPr/>
    </dgm:pt>
    <dgm:pt modelId="{C4D64226-2EA1-460F-885F-C46D7846F01D}" type="pres">
      <dgm:prSet presAssocID="{1E517570-2647-42F2-A147-2C7250E1DF72}" presName="sibTrans" presStyleCnt="0"/>
      <dgm:spPr/>
    </dgm:pt>
    <dgm:pt modelId="{63453562-9800-4319-861C-0C785CD1D8B4}" type="pres">
      <dgm:prSet presAssocID="{EDE11B54-FBA4-47AA-B986-D8FD48D544A3}" presName="node" presStyleLbl="node1" presStyleIdx="1" presStyleCnt="2">
        <dgm:presLayoutVars>
          <dgm:bulletEnabled val="1"/>
        </dgm:presLayoutVars>
      </dgm:prSet>
      <dgm:spPr/>
    </dgm:pt>
  </dgm:ptLst>
  <dgm:cxnLst>
    <dgm:cxn modelId="{B504B149-E699-4834-9624-2EB141B7B04E}" type="presOf" srcId="{670C0EDA-EBB7-47CE-80CD-8AB683FA970E}" destId="{5298F081-5478-4193-8937-552F7098F85B}" srcOrd="0" destOrd="0" presId="urn:microsoft.com/office/officeart/2005/8/layout/default"/>
    <dgm:cxn modelId="{B08CDFBB-4745-454A-8C2A-759D5E3296F2}" srcId="{3765ECB8-6349-4BE0-BE64-37D8531085FD}" destId="{670C0EDA-EBB7-47CE-80CD-8AB683FA970E}" srcOrd="0" destOrd="0" parTransId="{F0D77E5C-AC3B-48A2-9A86-39D152475E62}" sibTransId="{1E517570-2647-42F2-A147-2C7250E1DF72}"/>
    <dgm:cxn modelId="{D75FF8E1-1D31-40C6-861B-F0E4E6326BEA}" type="presOf" srcId="{EDE11B54-FBA4-47AA-B986-D8FD48D544A3}" destId="{63453562-9800-4319-861C-0C785CD1D8B4}" srcOrd="0" destOrd="0" presId="urn:microsoft.com/office/officeart/2005/8/layout/default"/>
    <dgm:cxn modelId="{EBDEE0F9-C7D0-405A-B6BC-3A4B7A6B9029}" srcId="{3765ECB8-6349-4BE0-BE64-37D8531085FD}" destId="{EDE11B54-FBA4-47AA-B986-D8FD48D544A3}" srcOrd="1" destOrd="0" parTransId="{20A18EB7-2D6B-496F-85CC-4D8566B58849}" sibTransId="{FFBE9181-8520-499B-A779-D366D6B0A569}"/>
    <dgm:cxn modelId="{2AD4F4FE-B4DA-4DC9-BC09-8BF2CA896B0B}" type="presOf" srcId="{3765ECB8-6349-4BE0-BE64-37D8531085FD}" destId="{5D88D0BF-8304-4580-8A83-D95DD0FAE1D7}" srcOrd="0" destOrd="0" presId="urn:microsoft.com/office/officeart/2005/8/layout/default"/>
    <dgm:cxn modelId="{E68370B9-48AE-4524-B0EF-28E6545F2006}" type="presParOf" srcId="{5D88D0BF-8304-4580-8A83-D95DD0FAE1D7}" destId="{5298F081-5478-4193-8937-552F7098F85B}" srcOrd="0" destOrd="0" presId="urn:microsoft.com/office/officeart/2005/8/layout/default"/>
    <dgm:cxn modelId="{092A3DFC-80EE-4A8B-9D95-9AE32FFB257D}" type="presParOf" srcId="{5D88D0BF-8304-4580-8A83-D95DD0FAE1D7}" destId="{C4D64226-2EA1-460F-885F-C46D7846F01D}" srcOrd="1" destOrd="0" presId="urn:microsoft.com/office/officeart/2005/8/layout/default"/>
    <dgm:cxn modelId="{8F4634E6-4081-4219-B9B2-D17708E57EBC}" type="presParOf" srcId="{5D88D0BF-8304-4580-8A83-D95DD0FAE1D7}" destId="{63453562-9800-4319-861C-0C785CD1D8B4}" srcOrd="2" destOrd="0" presId="urn:microsoft.com/office/officeart/2005/8/layout/defaul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765ECB8-6349-4BE0-BE64-37D8531085FD}"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670C0EDA-EBB7-47CE-80CD-8AB683FA970E}">
      <dgm:prSet phldrT="[Text]" custT="1"/>
      <dgm:spPr>
        <a:xfrm>
          <a:off x="805"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4000">
              <a:solidFill>
                <a:sysClr val="window" lastClr="FFFFFF"/>
              </a:solidFill>
              <a:latin typeface="Calibri" panose="020F0502020204030204"/>
              <a:ea typeface="+mn-ea"/>
              <a:cs typeface="+mn-cs"/>
            </a:rPr>
            <a:t>Finance Summary</a:t>
          </a:r>
        </a:p>
      </dgm:t>
    </dgm:pt>
    <dgm:pt modelId="{F0D77E5C-AC3B-48A2-9A86-39D152475E62}" type="parTrans" cxnId="{B08CDFBB-4745-454A-8C2A-759D5E3296F2}">
      <dgm:prSet/>
      <dgm:spPr/>
      <dgm:t>
        <a:bodyPr/>
        <a:lstStyle/>
        <a:p>
          <a:endParaRPr lang="en-GB"/>
        </a:p>
      </dgm:t>
    </dgm:pt>
    <dgm:pt modelId="{1E517570-2647-42F2-A147-2C7250E1DF72}" type="sibTrans" cxnId="{B08CDFBB-4745-454A-8C2A-759D5E3296F2}">
      <dgm:prSet/>
      <dgm:spPr/>
      <dgm:t>
        <a:bodyPr/>
        <a:lstStyle/>
        <a:p>
          <a:endParaRPr lang="en-GB"/>
        </a:p>
      </dgm:t>
    </dgm:pt>
    <dgm:pt modelId="{EDE11B54-FBA4-47AA-B986-D8FD48D544A3}">
      <dgm:prSet phldrT="[Text]"/>
      <dgm:spPr>
        <a:xfrm>
          <a:off x="3457536"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This year we raised £507,000 in sponsorship for MEDIN, matching that from the previous year </a:t>
          </a:r>
        </a:p>
      </dgm:t>
    </dgm:pt>
    <dgm:pt modelId="{20A18EB7-2D6B-496F-85CC-4D8566B58849}" type="parTrans" cxnId="{EBDEE0F9-C7D0-405A-B6BC-3A4B7A6B9029}">
      <dgm:prSet/>
      <dgm:spPr/>
      <dgm:t>
        <a:bodyPr/>
        <a:lstStyle/>
        <a:p>
          <a:endParaRPr lang="en-GB"/>
        </a:p>
      </dgm:t>
    </dgm:pt>
    <dgm:pt modelId="{FFBE9181-8520-499B-A779-D366D6B0A569}" type="sibTrans" cxnId="{EBDEE0F9-C7D0-405A-B6BC-3A4B7A6B9029}">
      <dgm:prSet/>
      <dgm:spPr/>
      <dgm:t>
        <a:bodyPr/>
        <a:lstStyle/>
        <a:p>
          <a:endParaRPr lang="en-GB"/>
        </a:p>
      </dgm:t>
    </dgm:pt>
    <dgm:pt modelId="{5D88D0BF-8304-4580-8A83-D95DD0FAE1D7}" type="pres">
      <dgm:prSet presAssocID="{3765ECB8-6349-4BE0-BE64-37D8531085FD}" presName="diagram" presStyleCnt="0">
        <dgm:presLayoutVars>
          <dgm:dir/>
          <dgm:resizeHandles val="exact"/>
        </dgm:presLayoutVars>
      </dgm:prSet>
      <dgm:spPr/>
    </dgm:pt>
    <dgm:pt modelId="{5298F081-5478-4193-8937-552F7098F85B}" type="pres">
      <dgm:prSet presAssocID="{670C0EDA-EBB7-47CE-80CD-8AB683FA970E}" presName="node" presStyleLbl="node1" presStyleIdx="0" presStyleCnt="2">
        <dgm:presLayoutVars>
          <dgm:bulletEnabled val="1"/>
        </dgm:presLayoutVars>
      </dgm:prSet>
      <dgm:spPr/>
    </dgm:pt>
    <dgm:pt modelId="{C4D64226-2EA1-460F-885F-C46D7846F01D}" type="pres">
      <dgm:prSet presAssocID="{1E517570-2647-42F2-A147-2C7250E1DF72}" presName="sibTrans" presStyleCnt="0"/>
      <dgm:spPr/>
    </dgm:pt>
    <dgm:pt modelId="{63453562-9800-4319-861C-0C785CD1D8B4}" type="pres">
      <dgm:prSet presAssocID="{EDE11B54-FBA4-47AA-B986-D8FD48D544A3}" presName="node" presStyleLbl="node1" presStyleIdx="1" presStyleCnt="2">
        <dgm:presLayoutVars>
          <dgm:bulletEnabled val="1"/>
        </dgm:presLayoutVars>
      </dgm:prSet>
      <dgm:spPr/>
    </dgm:pt>
  </dgm:ptLst>
  <dgm:cxnLst>
    <dgm:cxn modelId="{B504B149-E699-4834-9624-2EB141B7B04E}" type="presOf" srcId="{670C0EDA-EBB7-47CE-80CD-8AB683FA970E}" destId="{5298F081-5478-4193-8937-552F7098F85B}" srcOrd="0" destOrd="0" presId="urn:microsoft.com/office/officeart/2005/8/layout/default"/>
    <dgm:cxn modelId="{B08CDFBB-4745-454A-8C2A-759D5E3296F2}" srcId="{3765ECB8-6349-4BE0-BE64-37D8531085FD}" destId="{670C0EDA-EBB7-47CE-80CD-8AB683FA970E}" srcOrd="0" destOrd="0" parTransId="{F0D77E5C-AC3B-48A2-9A86-39D152475E62}" sibTransId="{1E517570-2647-42F2-A147-2C7250E1DF72}"/>
    <dgm:cxn modelId="{D75FF8E1-1D31-40C6-861B-F0E4E6326BEA}" type="presOf" srcId="{EDE11B54-FBA4-47AA-B986-D8FD48D544A3}" destId="{63453562-9800-4319-861C-0C785CD1D8B4}" srcOrd="0" destOrd="0" presId="urn:microsoft.com/office/officeart/2005/8/layout/default"/>
    <dgm:cxn modelId="{EBDEE0F9-C7D0-405A-B6BC-3A4B7A6B9029}" srcId="{3765ECB8-6349-4BE0-BE64-37D8531085FD}" destId="{EDE11B54-FBA4-47AA-B986-D8FD48D544A3}" srcOrd="1" destOrd="0" parTransId="{20A18EB7-2D6B-496F-85CC-4D8566B58849}" sibTransId="{FFBE9181-8520-499B-A779-D366D6B0A569}"/>
    <dgm:cxn modelId="{2AD4F4FE-B4DA-4DC9-BC09-8BF2CA896B0B}" type="presOf" srcId="{3765ECB8-6349-4BE0-BE64-37D8531085FD}" destId="{5D88D0BF-8304-4580-8A83-D95DD0FAE1D7}" srcOrd="0" destOrd="0" presId="urn:microsoft.com/office/officeart/2005/8/layout/default"/>
    <dgm:cxn modelId="{E68370B9-48AE-4524-B0EF-28E6545F2006}" type="presParOf" srcId="{5D88D0BF-8304-4580-8A83-D95DD0FAE1D7}" destId="{5298F081-5478-4193-8937-552F7098F85B}" srcOrd="0" destOrd="0" presId="urn:microsoft.com/office/officeart/2005/8/layout/default"/>
    <dgm:cxn modelId="{092A3DFC-80EE-4A8B-9D95-9AE32FFB257D}" type="presParOf" srcId="{5D88D0BF-8304-4580-8A83-D95DD0FAE1D7}" destId="{C4D64226-2EA1-460F-885F-C46D7846F01D}" srcOrd="1" destOrd="0" presId="urn:microsoft.com/office/officeart/2005/8/layout/default"/>
    <dgm:cxn modelId="{8F4634E6-4081-4219-B9B2-D17708E57EBC}" type="presParOf" srcId="{5D88D0BF-8304-4580-8A83-D95DD0FAE1D7}" destId="{63453562-9800-4319-861C-0C785CD1D8B4}" srcOrd="2" destOrd="0" presId="urn:microsoft.com/office/officeart/2005/8/layout/default"/>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765ECB8-6349-4BE0-BE64-37D8531085FD}"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670C0EDA-EBB7-47CE-80CD-8AB683FA970E}">
      <dgm:prSet phldrT="[Text]" custT="1"/>
      <dgm:spPr>
        <a:xfrm>
          <a:off x="805"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4000">
              <a:solidFill>
                <a:sysClr val="window" lastClr="FFFFFF"/>
              </a:solidFill>
              <a:latin typeface="Calibri" panose="020F0502020204030204"/>
              <a:ea typeface="+mn-ea"/>
              <a:cs typeface="+mn-cs"/>
            </a:rPr>
            <a:t>Governance</a:t>
          </a:r>
        </a:p>
      </dgm:t>
    </dgm:pt>
    <dgm:pt modelId="{F0D77E5C-AC3B-48A2-9A86-39D152475E62}" type="parTrans" cxnId="{B08CDFBB-4745-454A-8C2A-759D5E3296F2}">
      <dgm:prSet/>
      <dgm:spPr/>
      <dgm:t>
        <a:bodyPr/>
        <a:lstStyle/>
        <a:p>
          <a:endParaRPr lang="en-GB"/>
        </a:p>
      </dgm:t>
    </dgm:pt>
    <dgm:pt modelId="{1E517570-2647-42F2-A147-2C7250E1DF72}" type="sibTrans" cxnId="{B08CDFBB-4745-454A-8C2A-759D5E3296F2}">
      <dgm:prSet/>
      <dgm:spPr/>
      <dgm:t>
        <a:bodyPr/>
        <a:lstStyle/>
        <a:p>
          <a:endParaRPr lang="en-GB"/>
        </a:p>
      </dgm:t>
    </dgm:pt>
    <dgm:pt modelId="{EDE11B54-FBA4-47AA-B986-D8FD48D544A3}">
      <dgm:prSet phldrT="[Text]"/>
      <dgm:spPr>
        <a:xfrm>
          <a:off x="3457536"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n-GB">
            <a:solidFill>
              <a:sysClr val="window" lastClr="FFFFFF"/>
            </a:solidFill>
            <a:latin typeface="Calibri" panose="020F0502020204030204"/>
            <a:ea typeface="+mn-ea"/>
            <a:cs typeface="+mn-cs"/>
          </a:endParaRPr>
        </a:p>
      </dgm:t>
    </dgm:pt>
    <dgm:pt modelId="{20A18EB7-2D6B-496F-85CC-4D8566B58849}" type="parTrans" cxnId="{EBDEE0F9-C7D0-405A-B6BC-3A4B7A6B9029}">
      <dgm:prSet/>
      <dgm:spPr/>
      <dgm:t>
        <a:bodyPr/>
        <a:lstStyle/>
        <a:p>
          <a:endParaRPr lang="en-GB"/>
        </a:p>
      </dgm:t>
    </dgm:pt>
    <dgm:pt modelId="{FFBE9181-8520-499B-A779-D366D6B0A569}" type="sibTrans" cxnId="{EBDEE0F9-C7D0-405A-B6BC-3A4B7A6B9029}">
      <dgm:prSet/>
      <dgm:spPr/>
      <dgm:t>
        <a:bodyPr/>
        <a:lstStyle/>
        <a:p>
          <a:endParaRPr lang="en-GB"/>
        </a:p>
      </dgm:t>
    </dgm:pt>
    <dgm:pt modelId="{5D88D0BF-8304-4580-8A83-D95DD0FAE1D7}" type="pres">
      <dgm:prSet presAssocID="{3765ECB8-6349-4BE0-BE64-37D8531085FD}" presName="diagram" presStyleCnt="0">
        <dgm:presLayoutVars>
          <dgm:dir/>
          <dgm:resizeHandles val="exact"/>
        </dgm:presLayoutVars>
      </dgm:prSet>
      <dgm:spPr/>
    </dgm:pt>
    <dgm:pt modelId="{5298F081-5478-4193-8937-552F7098F85B}" type="pres">
      <dgm:prSet presAssocID="{670C0EDA-EBB7-47CE-80CD-8AB683FA970E}" presName="node" presStyleLbl="node1" presStyleIdx="0" presStyleCnt="2">
        <dgm:presLayoutVars>
          <dgm:bulletEnabled val="1"/>
        </dgm:presLayoutVars>
      </dgm:prSet>
      <dgm:spPr/>
    </dgm:pt>
    <dgm:pt modelId="{C4D64226-2EA1-460F-885F-C46D7846F01D}" type="pres">
      <dgm:prSet presAssocID="{1E517570-2647-42F2-A147-2C7250E1DF72}" presName="sibTrans" presStyleCnt="0"/>
      <dgm:spPr/>
    </dgm:pt>
    <dgm:pt modelId="{63453562-9800-4319-861C-0C785CD1D8B4}" type="pres">
      <dgm:prSet presAssocID="{EDE11B54-FBA4-47AA-B986-D8FD48D544A3}" presName="node" presStyleLbl="node1" presStyleIdx="1" presStyleCnt="2">
        <dgm:presLayoutVars>
          <dgm:bulletEnabled val="1"/>
        </dgm:presLayoutVars>
      </dgm:prSet>
      <dgm:spPr/>
    </dgm:pt>
  </dgm:ptLst>
  <dgm:cxnLst>
    <dgm:cxn modelId="{B504B149-E699-4834-9624-2EB141B7B04E}" type="presOf" srcId="{670C0EDA-EBB7-47CE-80CD-8AB683FA970E}" destId="{5298F081-5478-4193-8937-552F7098F85B}" srcOrd="0" destOrd="0" presId="urn:microsoft.com/office/officeart/2005/8/layout/default"/>
    <dgm:cxn modelId="{B08CDFBB-4745-454A-8C2A-759D5E3296F2}" srcId="{3765ECB8-6349-4BE0-BE64-37D8531085FD}" destId="{670C0EDA-EBB7-47CE-80CD-8AB683FA970E}" srcOrd="0" destOrd="0" parTransId="{F0D77E5C-AC3B-48A2-9A86-39D152475E62}" sibTransId="{1E517570-2647-42F2-A147-2C7250E1DF72}"/>
    <dgm:cxn modelId="{D75FF8E1-1D31-40C6-861B-F0E4E6326BEA}" type="presOf" srcId="{EDE11B54-FBA4-47AA-B986-D8FD48D544A3}" destId="{63453562-9800-4319-861C-0C785CD1D8B4}" srcOrd="0" destOrd="0" presId="urn:microsoft.com/office/officeart/2005/8/layout/default"/>
    <dgm:cxn modelId="{EBDEE0F9-C7D0-405A-B6BC-3A4B7A6B9029}" srcId="{3765ECB8-6349-4BE0-BE64-37D8531085FD}" destId="{EDE11B54-FBA4-47AA-B986-D8FD48D544A3}" srcOrd="1" destOrd="0" parTransId="{20A18EB7-2D6B-496F-85CC-4D8566B58849}" sibTransId="{FFBE9181-8520-499B-A779-D366D6B0A569}"/>
    <dgm:cxn modelId="{2AD4F4FE-B4DA-4DC9-BC09-8BF2CA896B0B}" type="presOf" srcId="{3765ECB8-6349-4BE0-BE64-37D8531085FD}" destId="{5D88D0BF-8304-4580-8A83-D95DD0FAE1D7}" srcOrd="0" destOrd="0" presId="urn:microsoft.com/office/officeart/2005/8/layout/default"/>
    <dgm:cxn modelId="{E68370B9-48AE-4524-B0EF-28E6545F2006}" type="presParOf" srcId="{5D88D0BF-8304-4580-8A83-D95DD0FAE1D7}" destId="{5298F081-5478-4193-8937-552F7098F85B}" srcOrd="0" destOrd="0" presId="urn:microsoft.com/office/officeart/2005/8/layout/default"/>
    <dgm:cxn modelId="{092A3DFC-80EE-4A8B-9D95-9AE32FFB257D}" type="presParOf" srcId="{5D88D0BF-8304-4580-8A83-D95DD0FAE1D7}" destId="{C4D64226-2EA1-460F-885F-C46D7846F01D}" srcOrd="1" destOrd="0" presId="urn:microsoft.com/office/officeart/2005/8/layout/default"/>
    <dgm:cxn modelId="{8F4634E6-4081-4219-B9B2-D17708E57EBC}" type="presParOf" srcId="{5D88D0BF-8304-4580-8A83-D95DD0FAE1D7}" destId="{63453562-9800-4319-861C-0C785CD1D8B4}" srcOrd="2" destOrd="0" presId="urn:microsoft.com/office/officeart/2005/8/layout/default"/>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765ECB8-6349-4BE0-BE64-37D8531085FD}"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670C0EDA-EBB7-47CE-80CD-8AB683FA970E}">
      <dgm:prSet phldrT="[Text]" custT="1"/>
      <dgm:spPr>
        <a:xfrm>
          <a:off x="805"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4000">
              <a:solidFill>
                <a:sysClr val="window" lastClr="FFFFFF"/>
              </a:solidFill>
              <a:latin typeface="Calibri" panose="020F0502020204030204"/>
              <a:ea typeface="+mn-ea"/>
              <a:cs typeface="+mn-cs"/>
            </a:rPr>
            <a:t>Network of Data Archive Centres</a:t>
          </a:r>
        </a:p>
      </dgm:t>
    </dgm:pt>
    <dgm:pt modelId="{F0D77E5C-AC3B-48A2-9A86-39D152475E62}" type="parTrans" cxnId="{B08CDFBB-4745-454A-8C2A-759D5E3296F2}">
      <dgm:prSet/>
      <dgm:spPr/>
      <dgm:t>
        <a:bodyPr/>
        <a:lstStyle/>
        <a:p>
          <a:endParaRPr lang="en-GB"/>
        </a:p>
      </dgm:t>
    </dgm:pt>
    <dgm:pt modelId="{1E517570-2647-42F2-A147-2C7250E1DF72}" type="sibTrans" cxnId="{B08CDFBB-4745-454A-8C2A-759D5E3296F2}">
      <dgm:prSet/>
      <dgm:spPr/>
      <dgm:t>
        <a:bodyPr/>
        <a:lstStyle/>
        <a:p>
          <a:endParaRPr lang="en-GB"/>
        </a:p>
      </dgm:t>
    </dgm:pt>
    <dgm:pt modelId="{EDE11B54-FBA4-47AA-B986-D8FD48D544A3}">
      <dgm:prSet phldrT="[Text]"/>
      <dgm:spPr>
        <a:xfrm>
          <a:off x="3457536"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This year we broadened our international reputation </a:t>
          </a:r>
          <a:endParaRPr lang="en-GB">
            <a:solidFill>
              <a:srgbClr val="FF0000"/>
            </a:solidFill>
            <a:latin typeface="Calibri" panose="020F0502020204030204"/>
            <a:ea typeface="+mn-ea"/>
            <a:cs typeface="+mn-cs"/>
          </a:endParaRPr>
        </a:p>
      </dgm:t>
    </dgm:pt>
    <dgm:pt modelId="{20A18EB7-2D6B-496F-85CC-4D8566B58849}" type="parTrans" cxnId="{EBDEE0F9-C7D0-405A-B6BC-3A4B7A6B9029}">
      <dgm:prSet/>
      <dgm:spPr/>
      <dgm:t>
        <a:bodyPr/>
        <a:lstStyle/>
        <a:p>
          <a:endParaRPr lang="en-GB"/>
        </a:p>
      </dgm:t>
    </dgm:pt>
    <dgm:pt modelId="{FFBE9181-8520-499B-A779-D366D6B0A569}" type="sibTrans" cxnId="{EBDEE0F9-C7D0-405A-B6BC-3A4B7A6B9029}">
      <dgm:prSet/>
      <dgm:spPr/>
      <dgm:t>
        <a:bodyPr/>
        <a:lstStyle/>
        <a:p>
          <a:endParaRPr lang="en-GB"/>
        </a:p>
      </dgm:t>
    </dgm:pt>
    <dgm:pt modelId="{5D88D0BF-8304-4580-8A83-D95DD0FAE1D7}" type="pres">
      <dgm:prSet presAssocID="{3765ECB8-6349-4BE0-BE64-37D8531085FD}" presName="diagram" presStyleCnt="0">
        <dgm:presLayoutVars>
          <dgm:dir/>
          <dgm:resizeHandles val="exact"/>
        </dgm:presLayoutVars>
      </dgm:prSet>
      <dgm:spPr/>
    </dgm:pt>
    <dgm:pt modelId="{5298F081-5478-4193-8937-552F7098F85B}" type="pres">
      <dgm:prSet presAssocID="{670C0EDA-EBB7-47CE-80CD-8AB683FA970E}" presName="node" presStyleLbl="node1" presStyleIdx="0" presStyleCnt="2">
        <dgm:presLayoutVars>
          <dgm:bulletEnabled val="1"/>
        </dgm:presLayoutVars>
      </dgm:prSet>
      <dgm:spPr/>
    </dgm:pt>
    <dgm:pt modelId="{C4D64226-2EA1-460F-885F-C46D7846F01D}" type="pres">
      <dgm:prSet presAssocID="{1E517570-2647-42F2-A147-2C7250E1DF72}" presName="sibTrans" presStyleCnt="0"/>
      <dgm:spPr/>
    </dgm:pt>
    <dgm:pt modelId="{63453562-9800-4319-861C-0C785CD1D8B4}" type="pres">
      <dgm:prSet presAssocID="{EDE11B54-FBA4-47AA-B986-D8FD48D544A3}" presName="node" presStyleLbl="node1" presStyleIdx="1" presStyleCnt="2">
        <dgm:presLayoutVars>
          <dgm:bulletEnabled val="1"/>
        </dgm:presLayoutVars>
      </dgm:prSet>
      <dgm:spPr/>
    </dgm:pt>
  </dgm:ptLst>
  <dgm:cxnLst>
    <dgm:cxn modelId="{B504B149-E699-4834-9624-2EB141B7B04E}" type="presOf" srcId="{670C0EDA-EBB7-47CE-80CD-8AB683FA970E}" destId="{5298F081-5478-4193-8937-552F7098F85B}" srcOrd="0" destOrd="0" presId="urn:microsoft.com/office/officeart/2005/8/layout/default"/>
    <dgm:cxn modelId="{B08CDFBB-4745-454A-8C2A-759D5E3296F2}" srcId="{3765ECB8-6349-4BE0-BE64-37D8531085FD}" destId="{670C0EDA-EBB7-47CE-80CD-8AB683FA970E}" srcOrd="0" destOrd="0" parTransId="{F0D77E5C-AC3B-48A2-9A86-39D152475E62}" sibTransId="{1E517570-2647-42F2-A147-2C7250E1DF72}"/>
    <dgm:cxn modelId="{D75FF8E1-1D31-40C6-861B-F0E4E6326BEA}" type="presOf" srcId="{EDE11B54-FBA4-47AA-B986-D8FD48D544A3}" destId="{63453562-9800-4319-861C-0C785CD1D8B4}" srcOrd="0" destOrd="0" presId="urn:microsoft.com/office/officeart/2005/8/layout/default"/>
    <dgm:cxn modelId="{EBDEE0F9-C7D0-405A-B6BC-3A4B7A6B9029}" srcId="{3765ECB8-6349-4BE0-BE64-37D8531085FD}" destId="{EDE11B54-FBA4-47AA-B986-D8FD48D544A3}" srcOrd="1" destOrd="0" parTransId="{20A18EB7-2D6B-496F-85CC-4D8566B58849}" sibTransId="{FFBE9181-8520-499B-A779-D366D6B0A569}"/>
    <dgm:cxn modelId="{2AD4F4FE-B4DA-4DC9-BC09-8BF2CA896B0B}" type="presOf" srcId="{3765ECB8-6349-4BE0-BE64-37D8531085FD}" destId="{5D88D0BF-8304-4580-8A83-D95DD0FAE1D7}" srcOrd="0" destOrd="0" presId="urn:microsoft.com/office/officeart/2005/8/layout/default"/>
    <dgm:cxn modelId="{E68370B9-48AE-4524-B0EF-28E6545F2006}" type="presParOf" srcId="{5D88D0BF-8304-4580-8A83-D95DD0FAE1D7}" destId="{5298F081-5478-4193-8937-552F7098F85B}" srcOrd="0" destOrd="0" presId="urn:microsoft.com/office/officeart/2005/8/layout/default"/>
    <dgm:cxn modelId="{092A3DFC-80EE-4A8B-9D95-9AE32FFB257D}" type="presParOf" srcId="{5D88D0BF-8304-4580-8A83-D95DD0FAE1D7}" destId="{C4D64226-2EA1-460F-885F-C46D7846F01D}" srcOrd="1" destOrd="0" presId="urn:microsoft.com/office/officeart/2005/8/layout/default"/>
    <dgm:cxn modelId="{8F4634E6-4081-4219-B9B2-D17708E57EBC}" type="presParOf" srcId="{5D88D0BF-8304-4580-8A83-D95DD0FAE1D7}" destId="{63453562-9800-4319-861C-0C785CD1D8B4}" srcOrd="2" destOrd="0" presId="urn:microsoft.com/office/officeart/2005/8/layout/default"/>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765ECB8-6349-4BE0-BE64-37D8531085FD}"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670C0EDA-EBB7-47CE-80CD-8AB683FA970E}">
      <dgm:prSet phldrT="[Text]" custT="1"/>
      <dgm:spPr>
        <a:xfrm>
          <a:off x="805"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3600">
              <a:solidFill>
                <a:sysClr val="window" lastClr="FFFFFF"/>
              </a:solidFill>
              <a:latin typeface="Calibri" panose="020F0502020204030204"/>
              <a:ea typeface="+mn-ea"/>
              <a:cs typeface="+mn-cs"/>
            </a:rPr>
            <a:t>Standards for marine data and metadata</a:t>
          </a:r>
        </a:p>
      </dgm:t>
    </dgm:pt>
    <dgm:pt modelId="{F0D77E5C-AC3B-48A2-9A86-39D152475E62}" type="parTrans" cxnId="{B08CDFBB-4745-454A-8C2A-759D5E3296F2}">
      <dgm:prSet/>
      <dgm:spPr/>
      <dgm:t>
        <a:bodyPr/>
        <a:lstStyle/>
        <a:p>
          <a:endParaRPr lang="en-GB"/>
        </a:p>
      </dgm:t>
    </dgm:pt>
    <dgm:pt modelId="{1E517570-2647-42F2-A147-2C7250E1DF72}" type="sibTrans" cxnId="{B08CDFBB-4745-454A-8C2A-759D5E3296F2}">
      <dgm:prSet/>
      <dgm:spPr/>
      <dgm:t>
        <a:bodyPr/>
        <a:lstStyle/>
        <a:p>
          <a:endParaRPr lang="en-GB"/>
        </a:p>
      </dgm:t>
    </dgm:pt>
    <dgm:pt modelId="{EDE11B54-FBA4-47AA-B986-D8FD48D544A3}">
      <dgm:prSet phldrT="[Text]"/>
      <dgm:spPr>
        <a:xfrm>
          <a:off x="3457536"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This year we developed new resources to deliver online training </a:t>
          </a:r>
        </a:p>
      </dgm:t>
    </dgm:pt>
    <dgm:pt modelId="{20A18EB7-2D6B-496F-85CC-4D8566B58849}" type="parTrans" cxnId="{EBDEE0F9-C7D0-405A-B6BC-3A4B7A6B9029}">
      <dgm:prSet/>
      <dgm:spPr/>
      <dgm:t>
        <a:bodyPr/>
        <a:lstStyle/>
        <a:p>
          <a:endParaRPr lang="en-GB"/>
        </a:p>
      </dgm:t>
    </dgm:pt>
    <dgm:pt modelId="{FFBE9181-8520-499B-A779-D366D6B0A569}" type="sibTrans" cxnId="{EBDEE0F9-C7D0-405A-B6BC-3A4B7A6B9029}">
      <dgm:prSet/>
      <dgm:spPr/>
      <dgm:t>
        <a:bodyPr/>
        <a:lstStyle/>
        <a:p>
          <a:endParaRPr lang="en-GB"/>
        </a:p>
      </dgm:t>
    </dgm:pt>
    <dgm:pt modelId="{5D88D0BF-8304-4580-8A83-D95DD0FAE1D7}" type="pres">
      <dgm:prSet presAssocID="{3765ECB8-6349-4BE0-BE64-37D8531085FD}" presName="diagram" presStyleCnt="0">
        <dgm:presLayoutVars>
          <dgm:dir/>
          <dgm:resizeHandles val="exact"/>
        </dgm:presLayoutVars>
      </dgm:prSet>
      <dgm:spPr/>
    </dgm:pt>
    <dgm:pt modelId="{5298F081-5478-4193-8937-552F7098F85B}" type="pres">
      <dgm:prSet presAssocID="{670C0EDA-EBB7-47CE-80CD-8AB683FA970E}" presName="node" presStyleLbl="node1" presStyleIdx="0" presStyleCnt="2">
        <dgm:presLayoutVars>
          <dgm:bulletEnabled val="1"/>
        </dgm:presLayoutVars>
      </dgm:prSet>
      <dgm:spPr/>
    </dgm:pt>
    <dgm:pt modelId="{C4D64226-2EA1-460F-885F-C46D7846F01D}" type="pres">
      <dgm:prSet presAssocID="{1E517570-2647-42F2-A147-2C7250E1DF72}" presName="sibTrans" presStyleCnt="0"/>
      <dgm:spPr/>
    </dgm:pt>
    <dgm:pt modelId="{63453562-9800-4319-861C-0C785CD1D8B4}" type="pres">
      <dgm:prSet presAssocID="{EDE11B54-FBA4-47AA-B986-D8FD48D544A3}" presName="node" presStyleLbl="node1" presStyleIdx="1" presStyleCnt="2">
        <dgm:presLayoutVars>
          <dgm:bulletEnabled val="1"/>
        </dgm:presLayoutVars>
      </dgm:prSet>
      <dgm:spPr/>
    </dgm:pt>
  </dgm:ptLst>
  <dgm:cxnLst>
    <dgm:cxn modelId="{B504B149-E699-4834-9624-2EB141B7B04E}" type="presOf" srcId="{670C0EDA-EBB7-47CE-80CD-8AB683FA970E}" destId="{5298F081-5478-4193-8937-552F7098F85B}" srcOrd="0" destOrd="0" presId="urn:microsoft.com/office/officeart/2005/8/layout/default"/>
    <dgm:cxn modelId="{B08CDFBB-4745-454A-8C2A-759D5E3296F2}" srcId="{3765ECB8-6349-4BE0-BE64-37D8531085FD}" destId="{670C0EDA-EBB7-47CE-80CD-8AB683FA970E}" srcOrd="0" destOrd="0" parTransId="{F0D77E5C-AC3B-48A2-9A86-39D152475E62}" sibTransId="{1E517570-2647-42F2-A147-2C7250E1DF72}"/>
    <dgm:cxn modelId="{D75FF8E1-1D31-40C6-861B-F0E4E6326BEA}" type="presOf" srcId="{EDE11B54-FBA4-47AA-B986-D8FD48D544A3}" destId="{63453562-9800-4319-861C-0C785CD1D8B4}" srcOrd="0" destOrd="0" presId="urn:microsoft.com/office/officeart/2005/8/layout/default"/>
    <dgm:cxn modelId="{EBDEE0F9-C7D0-405A-B6BC-3A4B7A6B9029}" srcId="{3765ECB8-6349-4BE0-BE64-37D8531085FD}" destId="{EDE11B54-FBA4-47AA-B986-D8FD48D544A3}" srcOrd="1" destOrd="0" parTransId="{20A18EB7-2D6B-496F-85CC-4D8566B58849}" sibTransId="{FFBE9181-8520-499B-A779-D366D6B0A569}"/>
    <dgm:cxn modelId="{2AD4F4FE-B4DA-4DC9-BC09-8BF2CA896B0B}" type="presOf" srcId="{3765ECB8-6349-4BE0-BE64-37D8531085FD}" destId="{5D88D0BF-8304-4580-8A83-D95DD0FAE1D7}" srcOrd="0" destOrd="0" presId="urn:microsoft.com/office/officeart/2005/8/layout/default"/>
    <dgm:cxn modelId="{E68370B9-48AE-4524-B0EF-28E6545F2006}" type="presParOf" srcId="{5D88D0BF-8304-4580-8A83-D95DD0FAE1D7}" destId="{5298F081-5478-4193-8937-552F7098F85B}" srcOrd="0" destOrd="0" presId="urn:microsoft.com/office/officeart/2005/8/layout/default"/>
    <dgm:cxn modelId="{092A3DFC-80EE-4A8B-9D95-9AE32FFB257D}" type="presParOf" srcId="{5D88D0BF-8304-4580-8A83-D95DD0FAE1D7}" destId="{C4D64226-2EA1-460F-885F-C46D7846F01D}" srcOrd="1" destOrd="0" presId="urn:microsoft.com/office/officeart/2005/8/layout/default"/>
    <dgm:cxn modelId="{8F4634E6-4081-4219-B9B2-D17708E57EBC}" type="presParOf" srcId="{5D88D0BF-8304-4580-8A83-D95DD0FAE1D7}" destId="{63453562-9800-4319-861C-0C785CD1D8B4}" srcOrd="2" destOrd="0" presId="urn:microsoft.com/office/officeart/2005/8/layout/default"/>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765ECB8-6349-4BE0-BE64-37D8531085FD}"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670C0EDA-EBB7-47CE-80CD-8AB683FA970E}">
      <dgm:prSet phldrT="[Text]" custT="1"/>
      <dgm:spPr>
        <a:xfrm>
          <a:off x="805"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4000">
              <a:solidFill>
                <a:sysClr val="window" lastClr="FFFFFF"/>
              </a:solidFill>
              <a:latin typeface="Calibri" panose="020F0502020204030204"/>
              <a:ea typeface="+mn-ea"/>
              <a:cs typeface="+mn-cs"/>
            </a:rPr>
            <a:t>Web portal, products and services</a:t>
          </a:r>
        </a:p>
      </dgm:t>
    </dgm:pt>
    <dgm:pt modelId="{F0D77E5C-AC3B-48A2-9A86-39D152475E62}" type="parTrans" cxnId="{B08CDFBB-4745-454A-8C2A-759D5E3296F2}">
      <dgm:prSet/>
      <dgm:spPr/>
      <dgm:t>
        <a:bodyPr/>
        <a:lstStyle/>
        <a:p>
          <a:endParaRPr lang="en-GB"/>
        </a:p>
      </dgm:t>
    </dgm:pt>
    <dgm:pt modelId="{1E517570-2647-42F2-A147-2C7250E1DF72}" type="sibTrans" cxnId="{B08CDFBB-4745-454A-8C2A-759D5E3296F2}">
      <dgm:prSet/>
      <dgm:spPr/>
      <dgm:t>
        <a:bodyPr/>
        <a:lstStyle/>
        <a:p>
          <a:endParaRPr lang="en-GB"/>
        </a:p>
      </dgm:t>
    </dgm:pt>
    <dgm:pt modelId="{EDE11B54-FBA4-47AA-B986-D8FD48D544A3}">
      <dgm:prSet phldrT="[Text]"/>
      <dgm:spPr>
        <a:xfrm>
          <a:off x="3457536"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This year we continued to improve our online tools for our users</a:t>
          </a:r>
        </a:p>
      </dgm:t>
    </dgm:pt>
    <dgm:pt modelId="{20A18EB7-2D6B-496F-85CC-4D8566B58849}" type="parTrans" cxnId="{EBDEE0F9-C7D0-405A-B6BC-3A4B7A6B9029}">
      <dgm:prSet/>
      <dgm:spPr/>
      <dgm:t>
        <a:bodyPr/>
        <a:lstStyle/>
        <a:p>
          <a:endParaRPr lang="en-GB"/>
        </a:p>
      </dgm:t>
    </dgm:pt>
    <dgm:pt modelId="{FFBE9181-8520-499B-A779-D366D6B0A569}" type="sibTrans" cxnId="{EBDEE0F9-C7D0-405A-B6BC-3A4B7A6B9029}">
      <dgm:prSet/>
      <dgm:spPr/>
      <dgm:t>
        <a:bodyPr/>
        <a:lstStyle/>
        <a:p>
          <a:endParaRPr lang="en-GB"/>
        </a:p>
      </dgm:t>
    </dgm:pt>
    <dgm:pt modelId="{5D88D0BF-8304-4580-8A83-D95DD0FAE1D7}" type="pres">
      <dgm:prSet presAssocID="{3765ECB8-6349-4BE0-BE64-37D8531085FD}" presName="diagram" presStyleCnt="0">
        <dgm:presLayoutVars>
          <dgm:dir/>
          <dgm:resizeHandles val="exact"/>
        </dgm:presLayoutVars>
      </dgm:prSet>
      <dgm:spPr/>
    </dgm:pt>
    <dgm:pt modelId="{5298F081-5478-4193-8937-552F7098F85B}" type="pres">
      <dgm:prSet presAssocID="{670C0EDA-EBB7-47CE-80CD-8AB683FA970E}" presName="node" presStyleLbl="node1" presStyleIdx="0" presStyleCnt="2">
        <dgm:presLayoutVars>
          <dgm:bulletEnabled val="1"/>
        </dgm:presLayoutVars>
      </dgm:prSet>
      <dgm:spPr/>
    </dgm:pt>
    <dgm:pt modelId="{C4D64226-2EA1-460F-885F-C46D7846F01D}" type="pres">
      <dgm:prSet presAssocID="{1E517570-2647-42F2-A147-2C7250E1DF72}" presName="sibTrans" presStyleCnt="0"/>
      <dgm:spPr/>
    </dgm:pt>
    <dgm:pt modelId="{63453562-9800-4319-861C-0C785CD1D8B4}" type="pres">
      <dgm:prSet presAssocID="{EDE11B54-FBA4-47AA-B986-D8FD48D544A3}" presName="node" presStyleLbl="node1" presStyleIdx="1" presStyleCnt="2">
        <dgm:presLayoutVars>
          <dgm:bulletEnabled val="1"/>
        </dgm:presLayoutVars>
      </dgm:prSet>
      <dgm:spPr/>
    </dgm:pt>
  </dgm:ptLst>
  <dgm:cxnLst>
    <dgm:cxn modelId="{B504B149-E699-4834-9624-2EB141B7B04E}" type="presOf" srcId="{670C0EDA-EBB7-47CE-80CD-8AB683FA970E}" destId="{5298F081-5478-4193-8937-552F7098F85B}" srcOrd="0" destOrd="0" presId="urn:microsoft.com/office/officeart/2005/8/layout/default"/>
    <dgm:cxn modelId="{B08CDFBB-4745-454A-8C2A-759D5E3296F2}" srcId="{3765ECB8-6349-4BE0-BE64-37D8531085FD}" destId="{670C0EDA-EBB7-47CE-80CD-8AB683FA970E}" srcOrd="0" destOrd="0" parTransId="{F0D77E5C-AC3B-48A2-9A86-39D152475E62}" sibTransId="{1E517570-2647-42F2-A147-2C7250E1DF72}"/>
    <dgm:cxn modelId="{D75FF8E1-1D31-40C6-861B-F0E4E6326BEA}" type="presOf" srcId="{EDE11B54-FBA4-47AA-B986-D8FD48D544A3}" destId="{63453562-9800-4319-861C-0C785CD1D8B4}" srcOrd="0" destOrd="0" presId="urn:microsoft.com/office/officeart/2005/8/layout/default"/>
    <dgm:cxn modelId="{EBDEE0F9-C7D0-405A-B6BC-3A4B7A6B9029}" srcId="{3765ECB8-6349-4BE0-BE64-37D8531085FD}" destId="{EDE11B54-FBA4-47AA-B986-D8FD48D544A3}" srcOrd="1" destOrd="0" parTransId="{20A18EB7-2D6B-496F-85CC-4D8566B58849}" sibTransId="{FFBE9181-8520-499B-A779-D366D6B0A569}"/>
    <dgm:cxn modelId="{2AD4F4FE-B4DA-4DC9-BC09-8BF2CA896B0B}" type="presOf" srcId="{3765ECB8-6349-4BE0-BE64-37D8531085FD}" destId="{5D88D0BF-8304-4580-8A83-D95DD0FAE1D7}" srcOrd="0" destOrd="0" presId="urn:microsoft.com/office/officeart/2005/8/layout/default"/>
    <dgm:cxn modelId="{E68370B9-48AE-4524-B0EF-28E6545F2006}" type="presParOf" srcId="{5D88D0BF-8304-4580-8A83-D95DD0FAE1D7}" destId="{5298F081-5478-4193-8937-552F7098F85B}" srcOrd="0" destOrd="0" presId="urn:microsoft.com/office/officeart/2005/8/layout/default"/>
    <dgm:cxn modelId="{092A3DFC-80EE-4A8B-9D95-9AE32FFB257D}" type="presParOf" srcId="{5D88D0BF-8304-4580-8A83-D95DD0FAE1D7}" destId="{C4D64226-2EA1-460F-885F-C46D7846F01D}" srcOrd="1" destOrd="0" presId="urn:microsoft.com/office/officeart/2005/8/layout/default"/>
    <dgm:cxn modelId="{8F4634E6-4081-4219-B9B2-D17708E57EBC}" type="presParOf" srcId="{5D88D0BF-8304-4580-8A83-D95DD0FAE1D7}" destId="{63453562-9800-4319-861C-0C785CD1D8B4}" srcOrd="2" destOrd="0" presId="urn:microsoft.com/office/officeart/2005/8/layout/default"/>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765ECB8-6349-4BE0-BE64-37D8531085FD}"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670C0EDA-EBB7-47CE-80CD-8AB683FA970E}">
      <dgm:prSet phldrT="[Text]" custT="1"/>
      <dgm:spPr>
        <a:xfrm>
          <a:off x="805"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3600">
              <a:solidFill>
                <a:sysClr val="window" lastClr="FFFFFF"/>
              </a:solidFill>
              <a:latin typeface="Calibri" panose="020F0502020204030204"/>
              <a:ea typeface="+mn-ea"/>
              <a:cs typeface="+mn-cs"/>
            </a:rPr>
            <a:t>International awareness and coordination</a:t>
          </a:r>
        </a:p>
      </dgm:t>
    </dgm:pt>
    <dgm:pt modelId="{F0D77E5C-AC3B-48A2-9A86-39D152475E62}" type="parTrans" cxnId="{B08CDFBB-4745-454A-8C2A-759D5E3296F2}">
      <dgm:prSet/>
      <dgm:spPr/>
      <dgm:t>
        <a:bodyPr/>
        <a:lstStyle/>
        <a:p>
          <a:endParaRPr lang="en-GB"/>
        </a:p>
      </dgm:t>
    </dgm:pt>
    <dgm:pt modelId="{1E517570-2647-42F2-A147-2C7250E1DF72}" type="sibTrans" cxnId="{B08CDFBB-4745-454A-8C2A-759D5E3296F2}">
      <dgm:prSet/>
      <dgm:spPr/>
      <dgm:t>
        <a:bodyPr/>
        <a:lstStyle/>
        <a:p>
          <a:endParaRPr lang="en-GB"/>
        </a:p>
      </dgm:t>
    </dgm:pt>
    <dgm:pt modelId="{EDE11B54-FBA4-47AA-B986-D8FD48D544A3}">
      <dgm:prSet phldrT="[Text]"/>
      <dgm:spPr>
        <a:xfrm>
          <a:off x="3457536"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This year we continued to facilitate international knowledge and data exchange</a:t>
          </a:r>
        </a:p>
      </dgm:t>
    </dgm:pt>
    <dgm:pt modelId="{20A18EB7-2D6B-496F-85CC-4D8566B58849}" type="parTrans" cxnId="{EBDEE0F9-C7D0-405A-B6BC-3A4B7A6B9029}">
      <dgm:prSet/>
      <dgm:spPr/>
      <dgm:t>
        <a:bodyPr/>
        <a:lstStyle/>
        <a:p>
          <a:endParaRPr lang="en-GB"/>
        </a:p>
      </dgm:t>
    </dgm:pt>
    <dgm:pt modelId="{FFBE9181-8520-499B-A779-D366D6B0A569}" type="sibTrans" cxnId="{EBDEE0F9-C7D0-405A-B6BC-3A4B7A6B9029}">
      <dgm:prSet/>
      <dgm:spPr/>
      <dgm:t>
        <a:bodyPr/>
        <a:lstStyle/>
        <a:p>
          <a:endParaRPr lang="en-GB"/>
        </a:p>
      </dgm:t>
    </dgm:pt>
    <dgm:pt modelId="{5D88D0BF-8304-4580-8A83-D95DD0FAE1D7}" type="pres">
      <dgm:prSet presAssocID="{3765ECB8-6349-4BE0-BE64-37D8531085FD}" presName="diagram" presStyleCnt="0">
        <dgm:presLayoutVars>
          <dgm:dir/>
          <dgm:resizeHandles val="exact"/>
        </dgm:presLayoutVars>
      </dgm:prSet>
      <dgm:spPr/>
    </dgm:pt>
    <dgm:pt modelId="{5298F081-5478-4193-8937-552F7098F85B}" type="pres">
      <dgm:prSet presAssocID="{670C0EDA-EBB7-47CE-80CD-8AB683FA970E}" presName="node" presStyleLbl="node1" presStyleIdx="0" presStyleCnt="2">
        <dgm:presLayoutVars>
          <dgm:bulletEnabled val="1"/>
        </dgm:presLayoutVars>
      </dgm:prSet>
      <dgm:spPr/>
    </dgm:pt>
    <dgm:pt modelId="{C4D64226-2EA1-460F-885F-C46D7846F01D}" type="pres">
      <dgm:prSet presAssocID="{1E517570-2647-42F2-A147-2C7250E1DF72}" presName="sibTrans" presStyleCnt="0"/>
      <dgm:spPr/>
    </dgm:pt>
    <dgm:pt modelId="{63453562-9800-4319-861C-0C785CD1D8B4}" type="pres">
      <dgm:prSet presAssocID="{EDE11B54-FBA4-47AA-B986-D8FD48D544A3}" presName="node" presStyleLbl="node1" presStyleIdx="1" presStyleCnt="2">
        <dgm:presLayoutVars>
          <dgm:bulletEnabled val="1"/>
        </dgm:presLayoutVars>
      </dgm:prSet>
      <dgm:spPr/>
    </dgm:pt>
  </dgm:ptLst>
  <dgm:cxnLst>
    <dgm:cxn modelId="{B504B149-E699-4834-9624-2EB141B7B04E}" type="presOf" srcId="{670C0EDA-EBB7-47CE-80CD-8AB683FA970E}" destId="{5298F081-5478-4193-8937-552F7098F85B}" srcOrd="0" destOrd="0" presId="urn:microsoft.com/office/officeart/2005/8/layout/default"/>
    <dgm:cxn modelId="{B08CDFBB-4745-454A-8C2A-759D5E3296F2}" srcId="{3765ECB8-6349-4BE0-BE64-37D8531085FD}" destId="{670C0EDA-EBB7-47CE-80CD-8AB683FA970E}" srcOrd="0" destOrd="0" parTransId="{F0D77E5C-AC3B-48A2-9A86-39D152475E62}" sibTransId="{1E517570-2647-42F2-A147-2C7250E1DF72}"/>
    <dgm:cxn modelId="{D75FF8E1-1D31-40C6-861B-F0E4E6326BEA}" type="presOf" srcId="{EDE11B54-FBA4-47AA-B986-D8FD48D544A3}" destId="{63453562-9800-4319-861C-0C785CD1D8B4}" srcOrd="0" destOrd="0" presId="urn:microsoft.com/office/officeart/2005/8/layout/default"/>
    <dgm:cxn modelId="{EBDEE0F9-C7D0-405A-B6BC-3A4B7A6B9029}" srcId="{3765ECB8-6349-4BE0-BE64-37D8531085FD}" destId="{EDE11B54-FBA4-47AA-B986-D8FD48D544A3}" srcOrd="1" destOrd="0" parTransId="{20A18EB7-2D6B-496F-85CC-4D8566B58849}" sibTransId="{FFBE9181-8520-499B-A779-D366D6B0A569}"/>
    <dgm:cxn modelId="{2AD4F4FE-B4DA-4DC9-BC09-8BF2CA896B0B}" type="presOf" srcId="{3765ECB8-6349-4BE0-BE64-37D8531085FD}" destId="{5D88D0BF-8304-4580-8A83-D95DD0FAE1D7}" srcOrd="0" destOrd="0" presId="urn:microsoft.com/office/officeart/2005/8/layout/default"/>
    <dgm:cxn modelId="{E68370B9-48AE-4524-B0EF-28E6545F2006}" type="presParOf" srcId="{5D88D0BF-8304-4580-8A83-D95DD0FAE1D7}" destId="{5298F081-5478-4193-8937-552F7098F85B}" srcOrd="0" destOrd="0" presId="urn:microsoft.com/office/officeart/2005/8/layout/default"/>
    <dgm:cxn modelId="{092A3DFC-80EE-4A8B-9D95-9AE32FFB257D}" type="presParOf" srcId="{5D88D0BF-8304-4580-8A83-D95DD0FAE1D7}" destId="{C4D64226-2EA1-460F-885F-C46D7846F01D}" srcOrd="1" destOrd="0" presId="urn:microsoft.com/office/officeart/2005/8/layout/default"/>
    <dgm:cxn modelId="{8F4634E6-4081-4219-B9B2-D17708E57EBC}" type="presParOf" srcId="{5D88D0BF-8304-4580-8A83-D95DD0FAE1D7}" destId="{63453562-9800-4319-861C-0C785CD1D8B4}" srcOrd="2" destOrd="0" presId="urn:microsoft.com/office/officeart/2005/8/layout/default"/>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98F081-5478-4193-8937-552F7098F85B}">
      <dsp:nvSpPr>
        <dsp:cNvPr id="0" name=""/>
        <dsp:cNvSpPr/>
      </dsp:nvSpPr>
      <dsp:spPr>
        <a:xfrm>
          <a:off x="805" y="230"/>
          <a:ext cx="3142482" cy="188548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0" tIns="152400" rIns="152400" bIns="152400" numCol="1" spcCol="1270" anchor="ctr" anchorCtr="0">
          <a:noAutofit/>
        </a:bodyPr>
        <a:lstStyle/>
        <a:p>
          <a:pPr marL="0" lvl="0" indent="0" algn="ctr" defTabSz="1778000">
            <a:lnSpc>
              <a:spcPct val="90000"/>
            </a:lnSpc>
            <a:spcBef>
              <a:spcPct val="0"/>
            </a:spcBef>
            <a:spcAft>
              <a:spcPct val="35000"/>
            </a:spcAft>
            <a:buNone/>
          </a:pPr>
          <a:r>
            <a:rPr lang="en-GB" sz="4000" kern="1200"/>
            <a:t>Highlights of the year</a:t>
          </a:r>
        </a:p>
      </dsp:txBody>
      <dsp:txXfrm>
        <a:off x="805" y="230"/>
        <a:ext cx="3142482" cy="1885489"/>
      </dsp:txXfrm>
    </dsp:sp>
    <dsp:sp modelId="{63453562-9800-4319-861C-0C785CD1D8B4}">
      <dsp:nvSpPr>
        <dsp:cNvPr id="0" name=""/>
        <dsp:cNvSpPr/>
      </dsp:nvSpPr>
      <dsp:spPr>
        <a:xfrm>
          <a:off x="3457536" y="230"/>
          <a:ext cx="3142482" cy="188548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GB" sz="2400" kern="1200"/>
            <a:t>This year we continued to enhance the national framework for marine data management in the UK</a:t>
          </a:r>
        </a:p>
      </dsp:txBody>
      <dsp:txXfrm>
        <a:off x="3457536" y="230"/>
        <a:ext cx="3142482" cy="188548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98F081-5478-4193-8937-552F7098F85B}">
      <dsp:nvSpPr>
        <dsp:cNvPr id="0" name=""/>
        <dsp:cNvSpPr/>
      </dsp:nvSpPr>
      <dsp:spPr>
        <a:xfrm>
          <a:off x="805"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7160" tIns="137160" rIns="137160" bIns="137160" numCol="1" spcCol="1270" anchor="ctr" anchorCtr="0">
          <a:noAutofit/>
        </a:bodyPr>
        <a:lstStyle/>
        <a:p>
          <a:pPr marL="0" lvl="0" indent="0" algn="ctr" defTabSz="1600200">
            <a:lnSpc>
              <a:spcPct val="90000"/>
            </a:lnSpc>
            <a:spcBef>
              <a:spcPct val="0"/>
            </a:spcBef>
            <a:spcAft>
              <a:spcPct val="35000"/>
            </a:spcAft>
            <a:buNone/>
          </a:pPr>
          <a:r>
            <a:rPr lang="en-GB" sz="3600" kern="1200">
              <a:solidFill>
                <a:sysClr val="window" lastClr="FFFFFF"/>
              </a:solidFill>
              <a:latin typeface="Calibri" panose="020F0502020204030204"/>
              <a:ea typeface="+mn-ea"/>
              <a:cs typeface="+mn-cs"/>
            </a:rPr>
            <a:t>Resources and applications development</a:t>
          </a:r>
        </a:p>
      </dsp:txBody>
      <dsp:txXfrm>
        <a:off x="805" y="230"/>
        <a:ext cx="3142482" cy="1885489"/>
      </dsp:txXfrm>
    </dsp:sp>
    <dsp:sp modelId="{63453562-9800-4319-861C-0C785CD1D8B4}">
      <dsp:nvSpPr>
        <dsp:cNvPr id="0" name=""/>
        <dsp:cNvSpPr/>
      </dsp:nvSpPr>
      <dsp:spPr>
        <a:xfrm>
          <a:off x="3457536"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95250" bIns="95250" numCol="1" spcCol="1270" anchor="ctr" anchorCtr="0">
          <a:noAutofit/>
        </a:bodyPr>
        <a:lstStyle/>
        <a:p>
          <a:pPr marL="0" lvl="0" indent="0" algn="ctr" defTabSz="1111250">
            <a:lnSpc>
              <a:spcPct val="90000"/>
            </a:lnSpc>
            <a:spcBef>
              <a:spcPct val="0"/>
            </a:spcBef>
            <a:spcAft>
              <a:spcPct val="35000"/>
            </a:spcAft>
            <a:buNone/>
          </a:pPr>
          <a:r>
            <a:rPr lang="en-GB" sz="2500" kern="1200">
              <a:solidFill>
                <a:sysClr val="window" lastClr="FFFFFF"/>
              </a:solidFill>
              <a:latin typeface="Calibri" panose="020F0502020204030204"/>
              <a:ea typeface="+mn-ea"/>
              <a:cs typeface="+mn-cs"/>
            </a:rPr>
            <a:t>This year we funded data management tools for new and emerging technologies</a:t>
          </a:r>
        </a:p>
      </dsp:txBody>
      <dsp:txXfrm>
        <a:off x="3457536" y="230"/>
        <a:ext cx="3142482" cy="188548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98F081-5478-4193-8937-552F7098F85B}">
      <dsp:nvSpPr>
        <dsp:cNvPr id="0" name=""/>
        <dsp:cNvSpPr/>
      </dsp:nvSpPr>
      <dsp:spPr>
        <a:xfrm>
          <a:off x="805"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1920" tIns="121920" rIns="121920" bIns="121920" numCol="1" spcCol="1270" anchor="ctr" anchorCtr="0">
          <a:noAutofit/>
        </a:bodyPr>
        <a:lstStyle/>
        <a:p>
          <a:pPr marL="0" lvl="0" indent="0" algn="ctr" defTabSz="1422400">
            <a:lnSpc>
              <a:spcPct val="90000"/>
            </a:lnSpc>
            <a:spcBef>
              <a:spcPct val="0"/>
            </a:spcBef>
            <a:spcAft>
              <a:spcPct val="35000"/>
            </a:spcAft>
            <a:buNone/>
          </a:pPr>
          <a:r>
            <a:rPr lang="en-GB" sz="3200" kern="1200">
              <a:solidFill>
                <a:sysClr val="window" lastClr="FFFFFF"/>
              </a:solidFill>
              <a:latin typeface="Calibri" panose="020F0502020204030204"/>
              <a:ea typeface="+mn-ea"/>
              <a:cs typeface="+mn-cs"/>
            </a:rPr>
            <a:t>Communications: outreach, forums, publicity</a:t>
          </a:r>
        </a:p>
      </dsp:txBody>
      <dsp:txXfrm>
        <a:off x="805" y="230"/>
        <a:ext cx="3142482" cy="1885489"/>
      </dsp:txXfrm>
    </dsp:sp>
    <dsp:sp modelId="{63453562-9800-4319-861C-0C785CD1D8B4}">
      <dsp:nvSpPr>
        <dsp:cNvPr id="0" name=""/>
        <dsp:cNvSpPr/>
      </dsp:nvSpPr>
      <dsp:spPr>
        <a:xfrm>
          <a:off x="3457536"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0490" tIns="110490" rIns="110490" bIns="110490" numCol="1" spcCol="1270" anchor="ctr" anchorCtr="0">
          <a:noAutofit/>
        </a:bodyPr>
        <a:lstStyle/>
        <a:p>
          <a:pPr marL="0" lvl="0" indent="0" algn="ctr" defTabSz="1289050">
            <a:lnSpc>
              <a:spcPct val="90000"/>
            </a:lnSpc>
            <a:spcBef>
              <a:spcPct val="0"/>
            </a:spcBef>
            <a:spcAft>
              <a:spcPct val="35000"/>
            </a:spcAft>
            <a:buNone/>
          </a:pPr>
          <a:r>
            <a:rPr lang="en-GB" sz="2900" kern="1200">
              <a:solidFill>
                <a:sysClr val="window" lastClr="FFFFFF"/>
              </a:solidFill>
              <a:latin typeface="Calibri" panose="020F0502020204030204"/>
              <a:ea typeface="+mn-ea"/>
              <a:cs typeface="+mn-cs"/>
            </a:rPr>
            <a:t>This year we found ways to communicate with new audiences</a:t>
          </a:r>
        </a:p>
      </dsp:txBody>
      <dsp:txXfrm>
        <a:off x="3457536" y="230"/>
        <a:ext cx="3142482" cy="188548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98F081-5478-4193-8937-552F7098F85B}">
      <dsp:nvSpPr>
        <dsp:cNvPr id="0" name=""/>
        <dsp:cNvSpPr/>
      </dsp:nvSpPr>
      <dsp:spPr>
        <a:xfrm>
          <a:off x="805"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1920" tIns="121920" rIns="121920" bIns="121920" numCol="1" spcCol="1270" anchor="ctr" anchorCtr="0">
          <a:noAutofit/>
        </a:bodyPr>
        <a:lstStyle/>
        <a:p>
          <a:pPr marL="0" lvl="0" indent="0" algn="ctr" defTabSz="1422400">
            <a:lnSpc>
              <a:spcPct val="90000"/>
            </a:lnSpc>
            <a:spcBef>
              <a:spcPct val="0"/>
            </a:spcBef>
            <a:spcAft>
              <a:spcPct val="35000"/>
            </a:spcAft>
            <a:buNone/>
          </a:pPr>
          <a:r>
            <a:rPr lang="en-GB" sz="3200" kern="1200">
              <a:solidFill>
                <a:sysClr val="window" lastClr="FFFFFF"/>
              </a:solidFill>
              <a:latin typeface="Calibri" panose="020F0502020204030204"/>
              <a:ea typeface="+mn-ea"/>
              <a:cs typeface="+mn-cs"/>
            </a:rPr>
            <a:t>Management, planning and coordination</a:t>
          </a:r>
        </a:p>
      </dsp:txBody>
      <dsp:txXfrm>
        <a:off x="805" y="230"/>
        <a:ext cx="3142482" cy="1885489"/>
      </dsp:txXfrm>
    </dsp:sp>
    <dsp:sp modelId="{63453562-9800-4319-861C-0C785CD1D8B4}">
      <dsp:nvSpPr>
        <dsp:cNvPr id="0" name=""/>
        <dsp:cNvSpPr/>
      </dsp:nvSpPr>
      <dsp:spPr>
        <a:xfrm>
          <a:off x="3457536"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r>
            <a:rPr lang="en-GB" sz="2800" kern="1200">
              <a:solidFill>
                <a:sysClr val="window" lastClr="FFFFFF"/>
              </a:solidFill>
              <a:latin typeface="Calibri" panose="020F0502020204030204"/>
              <a:ea typeface="+mn-ea"/>
              <a:cs typeface="+mn-cs"/>
            </a:rPr>
            <a:t>This year we </a:t>
          </a:r>
          <a:r>
            <a:rPr lang="en-GB" sz="2800" kern="1200">
              <a:solidFill>
                <a:schemeClr val="bg1"/>
              </a:solidFill>
              <a:latin typeface="Calibri" panose="020F0502020204030204"/>
              <a:ea typeface="+mn-ea"/>
              <a:cs typeface="+mn-cs"/>
            </a:rPr>
            <a:t>supported our partners to develop data strategies</a:t>
          </a:r>
          <a:r>
            <a:rPr lang="en-GB" sz="2800" kern="1200">
              <a:solidFill>
                <a:sysClr val="window" lastClr="FFFFFF"/>
              </a:solidFill>
              <a:latin typeface="Calibri" panose="020F0502020204030204"/>
              <a:ea typeface="+mn-ea"/>
              <a:cs typeface="+mn-cs"/>
            </a:rPr>
            <a:t>.</a:t>
          </a:r>
        </a:p>
      </dsp:txBody>
      <dsp:txXfrm>
        <a:off x="3457536" y="230"/>
        <a:ext cx="3142482" cy="1885489"/>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98F081-5478-4193-8937-552F7098F85B}">
      <dsp:nvSpPr>
        <dsp:cNvPr id="0" name=""/>
        <dsp:cNvSpPr/>
      </dsp:nvSpPr>
      <dsp:spPr>
        <a:xfrm>
          <a:off x="805"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1920" tIns="121920" rIns="121920" bIns="121920" numCol="1" spcCol="1270" anchor="ctr" anchorCtr="0">
          <a:noAutofit/>
        </a:bodyPr>
        <a:lstStyle/>
        <a:p>
          <a:pPr marL="0" lvl="0" indent="0" algn="ctr" defTabSz="1422400">
            <a:lnSpc>
              <a:spcPct val="90000"/>
            </a:lnSpc>
            <a:spcBef>
              <a:spcPct val="0"/>
            </a:spcBef>
            <a:spcAft>
              <a:spcPct val="35000"/>
            </a:spcAft>
            <a:buNone/>
          </a:pPr>
          <a:r>
            <a:rPr lang="en-GB" sz="3200" kern="1200"/>
            <a:t>With thanks to our 2020-21 sponsors,</a:t>
          </a:r>
          <a:endParaRPr lang="en-GB" sz="3200" kern="1200">
            <a:solidFill>
              <a:sysClr val="window" lastClr="FFFFFF"/>
            </a:solidFill>
            <a:latin typeface="Calibri" panose="020F0502020204030204"/>
            <a:ea typeface="+mn-ea"/>
            <a:cs typeface="+mn-cs"/>
          </a:endParaRPr>
        </a:p>
      </dsp:txBody>
      <dsp:txXfrm>
        <a:off x="805" y="230"/>
        <a:ext cx="3142482" cy="1885489"/>
      </dsp:txXfrm>
    </dsp:sp>
    <dsp:sp modelId="{63453562-9800-4319-861C-0C785CD1D8B4}">
      <dsp:nvSpPr>
        <dsp:cNvPr id="0" name=""/>
        <dsp:cNvSpPr/>
      </dsp:nvSpPr>
      <dsp:spPr>
        <a:xfrm>
          <a:off x="3457536"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0490" tIns="110490" rIns="110490" bIns="110490" numCol="1" spcCol="1270" anchor="ctr" anchorCtr="0">
          <a:noAutofit/>
        </a:bodyPr>
        <a:lstStyle/>
        <a:p>
          <a:pPr marL="0" lvl="0" indent="0" algn="ctr" defTabSz="1289050">
            <a:lnSpc>
              <a:spcPct val="90000"/>
            </a:lnSpc>
            <a:spcBef>
              <a:spcPct val="0"/>
            </a:spcBef>
            <a:spcAft>
              <a:spcPct val="35000"/>
            </a:spcAft>
            <a:buNone/>
          </a:pPr>
          <a:r>
            <a:rPr lang="en-GB" sz="2900" kern="1200">
              <a:solidFill>
                <a:sysClr val="window" lastClr="FFFFFF"/>
              </a:solidFill>
              <a:latin typeface="Calibri" panose="020F0502020204030204"/>
              <a:ea typeface="+mn-ea"/>
              <a:cs typeface="+mn-cs"/>
            </a:rPr>
            <a:t>and to all our partners working with us to deliver MEDIN's vision.</a:t>
          </a:r>
        </a:p>
      </dsp:txBody>
      <dsp:txXfrm>
        <a:off x="3457536" y="230"/>
        <a:ext cx="3142482" cy="18854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2ACCF4-EE95-4231-96C1-AF49044257E3}">
      <dsp:nvSpPr>
        <dsp:cNvPr id="0" name=""/>
        <dsp:cNvSpPr/>
      </dsp:nvSpPr>
      <dsp:spPr>
        <a:xfrm>
          <a:off x="0" y="0"/>
          <a:ext cx="6858000" cy="1293809"/>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l" defTabSz="1244600">
            <a:lnSpc>
              <a:spcPct val="90000"/>
            </a:lnSpc>
            <a:spcBef>
              <a:spcPct val="0"/>
            </a:spcBef>
            <a:spcAft>
              <a:spcPct val="35000"/>
            </a:spcAft>
            <a:buNone/>
          </a:pPr>
          <a:r>
            <a:rPr lang="en-GB" sz="2800" i="1" kern="1200"/>
            <a:t>Access to marine datasets</a:t>
          </a:r>
        </a:p>
        <a:p>
          <a:pPr marL="0" lvl="0" indent="0" algn="l" defTabSz="1244600">
            <a:lnSpc>
              <a:spcPct val="90000"/>
            </a:lnSpc>
            <a:spcBef>
              <a:spcPct val="0"/>
            </a:spcBef>
            <a:spcAft>
              <a:spcPct val="35000"/>
            </a:spcAft>
            <a:buNone/>
          </a:pPr>
          <a:r>
            <a:rPr lang="en-GB" sz="1100" kern="1200"/>
            <a:t>We provide a single place to find UK marine environmental data. In March 2021, the MEDIN portal described and provided accesss to 15,693 marine datasets, owned or managed by over 600 public and private sector organisations. </a:t>
          </a:r>
          <a:r>
            <a:rPr lang="en-GB" sz="1100" i="1" kern="1200"/>
            <a:t>Read more on page 16.</a:t>
          </a:r>
          <a:endParaRPr lang="en-GB" sz="1100" kern="1200"/>
        </a:p>
      </dsp:txBody>
      <dsp:txXfrm>
        <a:off x="1500980" y="0"/>
        <a:ext cx="5357019" cy="1293809"/>
      </dsp:txXfrm>
    </dsp:sp>
    <dsp:sp modelId="{CE879D3F-C144-41AD-BE35-7CBC54C3CB54}">
      <dsp:nvSpPr>
        <dsp:cNvPr id="0" name=""/>
        <dsp:cNvSpPr/>
      </dsp:nvSpPr>
      <dsp:spPr>
        <a:xfrm>
          <a:off x="129380" y="129380"/>
          <a:ext cx="1371600" cy="1035047"/>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6000" r="-6000"/>
          </a:stretch>
        </a:blip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95F5A3-1ACA-42D5-A424-72A2EAE83B5A}">
      <dsp:nvSpPr>
        <dsp:cNvPr id="0" name=""/>
        <dsp:cNvSpPr/>
      </dsp:nvSpPr>
      <dsp:spPr>
        <a:xfrm>
          <a:off x="0" y="1423190"/>
          <a:ext cx="6858000" cy="1293809"/>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l" defTabSz="1244600">
            <a:lnSpc>
              <a:spcPct val="90000"/>
            </a:lnSpc>
            <a:spcBef>
              <a:spcPct val="0"/>
            </a:spcBef>
            <a:spcAft>
              <a:spcPct val="35000"/>
            </a:spcAft>
            <a:buNone/>
          </a:pPr>
          <a:r>
            <a:rPr lang="en-GB" sz="2800" i="1" kern="1200"/>
            <a:t>Data managed by specialists</a:t>
          </a:r>
        </a:p>
        <a:p>
          <a:pPr marL="0" lvl="0" indent="0" algn="l" defTabSz="1244600">
            <a:lnSpc>
              <a:spcPct val="90000"/>
            </a:lnSpc>
            <a:spcBef>
              <a:spcPct val="0"/>
            </a:spcBef>
            <a:spcAft>
              <a:spcPct val="35000"/>
            </a:spcAft>
            <a:buNone/>
          </a:pPr>
          <a:r>
            <a:rPr lang="en-GB" sz="1100" kern="1200"/>
            <a:t>We coordinate a network of specialist Data Archive Centres (DACs) that provide long-term, interoperable access to UK marine data. Our data centres are working towards international accreditation called Core Trust Seal and this year received over 1.6 million requests for marine data, nearly double the requests last year. </a:t>
          </a:r>
          <a:r>
            <a:rPr lang="en-GB" sz="1100" i="1" kern="1200"/>
            <a:t>Read more on page 12.</a:t>
          </a:r>
          <a:endParaRPr lang="en-GB" sz="1100" kern="1200"/>
        </a:p>
      </dsp:txBody>
      <dsp:txXfrm>
        <a:off x="1500980" y="1423190"/>
        <a:ext cx="5357019" cy="1293809"/>
      </dsp:txXfrm>
    </dsp:sp>
    <dsp:sp modelId="{25D6C2AF-D351-41D8-A41B-7B5A1793E864}">
      <dsp:nvSpPr>
        <dsp:cNvPr id="0" name=""/>
        <dsp:cNvSpPr/>
      </dsp:nvSpPr>
      <dsp:spPr>
        <a:xfrm>
          <a:off x="129380" y="1552571"/>
          <a:ext cx="1371600" cy="1035047"/>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6000" r="-6000"/>
          </a:stretch>
        </a:blip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41F5F3E-F610-4AC8-86D8-0ECB7D868F53}">
      <dsp:nvSpPr>
        <dsp:cNvPr id="0" name=""/>
        <dsp:cNvSpPr/>
      </dsp:nvSpPr>
      <dsp:spPr>
        <a:xfrm>
          <a:off x="0" y="2846380"/>
          <a:ext cx="6858000" cy="1293809"/>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l" defTabSz="1244600">
            <a:lnSpc>
              <a:spcPct val="90000"/>
            </a:lnSpc>
            <a:spcBef>
              <a:spcPct val="0"/>
            </a:spcBef>
            <a:spcAft>
              <a:spcPct val="35000"/>
            </a:spcAft>
            <a:buNone/>
          </a:pPr>
          <a:r>
            <a:rPr lang="en-GB" sz="2800" i="1" kern="1200"/>
            <a:t>Marine data standards</a:t>
          </a:r>
        </a:p>
        <a:p>
          <a:pPr marL="0" lvl="0" indent="0" algn="l" defTabSz="1244600">
            <a:lnSpc>
              <a:spcPct val="90000"/>
            </a:lnSpc>
            <a:spcBef>
              <a:spcPct val="0"/>
            </a:spcBef>
            <a:spcAft>
              <a:spcPct val="35000"/>
            </a:spcAft>
            <a:buNone/>
          </a:pPr>
          <a:r>
            <a:rPr lang="en-GB" sz="1100" kern="1200"/>
            <a:t>We provide a standardised way for the UK marine community to describe the data they collect. This year we developed a suite of online training material to explain how to use our metadata standard and data guidelines to make your marine data findable, accessile, interoperable and reusable. </a:t>
          </a:r>
          <a:r>
            <a:rPr lang="en-GB" sz="1100" i="1" kern="1200"/>
            <a:t>Read more on page 14.</a:t>
          </a:r>
          <a:endParaRPr lang="en-GB" sz="1100" kern="1200"/>
        </a:p>
      </dsp:txBody>
      <dsp:txXfrm>
        <a:off x="1500980" y="2846380"/>
        <a:ext cx="5357019" cy="1293809"/>
      </dsp:txXfrm>
    </dsp:sp>
    <dsp:sp modelId="{6628210E-E58D-4E01-86F5-3F8A818A0794}">
      <dsp:nvSpPr>
        <dsp:cNvPr id="0" name=""/>
        <dsp:cNvSpPr/>
      </dsp:nvSpPr>
      <dsp:spPr>
        <a:xfrm>
          <a:off x="129380" y="2975761"/>
          <a:ext cx="1371600" cy="1035047"/>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6000" r="-6000"/>
          </a:stretch>
        </a:blip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ACFD44D-FB8D-4988-8DE1-6A3D12F7DF60}">
      <dsp:nvSpPr>
        <dsp:cNvPr id="0" name=""/>
        <dsp:cNvSpPr/>
      </dsp:nvSpPr>
      <dsp:spPr>
        <a:xfrm>
          <a:off x="0" y="4269571"/>
          <a:ext cx="6858000" cy="1293809"/>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l" defTabSz="1244600">
            <a:lnSpc>
              <a:spcPct val="90000"/>
            </a:lnSpc>
            <a:spcBef>
              <a:spcPct val="0"/>
            </a:spcBef>
            <a:spcAft>
              <a:spcPct val="35000"/>
            </a:spcAft>
            <a:buNone/>
          </a:pPr>
          <a:r>
            <a:rPr lang="en-GB" sz="2800" i="1" kern="1200"/>
            <a:t>Marine policy</a:t>
          </a:r>
        </a:p>
        <a:p>
          <a:pPr marL="0" lvl="0" indent="0" algn="l" defTabSz="1244600">
            <a:lnSpc>
              <a:spcPct val="90000"/>
            </a:lnSpc>
            <a:spcBef>
              <a:spcPct val="0"/>
            </a:spcBef>
            <a:spcAft>
              <a:spcPct val="35000"/>
            </a:spcAft>
            <a:buNone/>
          </a:pPr>
          <a:r>
            <a:rPr lang="en-GB" sz="1100" kern="1200"/>
            <a:t>We provide expert advice to government departments and agencies, supporting the UK Marine Monitoring and Assessment Strategy (UKMMAS) community. This year we developed a data strategy for the UKMMAS community to support transparent access to the data used in national and international reporting.  </a:t>
          </a:r>
          <a:r>
            <a:rPr lang="en-GB" sz="1100" i="1" kern="1200"/>
            <a:t>Read more on page 25.</a:t>
          </a:r>
          <a:endParaRPr lang="en-GB" sz="1100" kern="1200"/>
        </a:p>
      </dsp:txBody>
      <dsp:txXfrm>
        <a:off x="1500980" y="4269571"/>
        <a:ext cx="5357019" cy="1293809"/>
      </dsp:txXfrm>
    </dsp:sp>
    <dsp:sp modelId="{2B97BD75-C3DC-458E-B162-761C317A93A7}">
      <dsp:nvSpPr>
        <dsp:cNvPr id="0" name=""/>
        <dsp:cNvSpPr/>
      </dsp:nvSpPr>
      <dsp:spPr>
        <a:xfrm>
          <a:off x="129380" y="4398951"/>
          <a:ext cx="1371600" cy="1035047"/>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6000" r="-6000"/>
          </a:stretch>
        </a:blip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E0ACA66-6567-4E65-86D4-1F30ED1BD720}">
      <dsp:nvSpPr>
        <dsp:cNvPr id="0" name=""/>
        <dsp:cNvSpPr/>
      </dsp:nvSpPr>
      <dsp:spPr>
        <a:xfrm>
          <a:off x="0" y="5692761"/>
          <a:ext cx="6858000" cy="1293809"/>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t" anchorCtr="0">
          <a:noAutofit/>
        </a:bodyPr>
        <a:lstStyle/>
        <a:p>
          <a:pPr marL="0" lvl="0" indent="0" algn="l" defTabSz="1244600">
            <a:lnSpc>
              <a:spcPct val="90000"/>
            </a:lnSpc>
            <a:spcBef>
              <a:spcPct val="0"/>
            </a:spcBef>
            <a:spcAft>
              <a:spcPct val="35000"/>
            </a:spcAft>
            <a:buNone/>
          </a:pPr>
          <a:r>
            <a:rPr lang="en-GB" sz="2800" i="1" kern="1200"/>
            <a:t>Value chains</a:t>
          </a:r>
        </a:p>
        <a:p>
          <a:pPr marL="0" lvl="0" indent="0" algn="l" defTabSz="1244600">
            <a:lnSpc>
              <a:spcPct val="90000"/>
            </a:lnSpc>
            <a:spcBef>
              <a:spcPct val="0"/>
            </a:spcBef>
            <a:spcAft>
              <a:spcPct val="35000"/>
            </a:spcAft>
            <a:buNone/>
          </a:pPr>
          <a:r>
            <a:rPr lang="en-GB" sz="1100" i="0" kern="1200"/>
            <a:t>We provide access to a wide range of marine data. This year we collaborated with the Organisation for Economic Co-operation and Development (OECD) and the Global Ocean Observing System (GOOS) to explore the value chains in marine data availble from our Data Archive Centres. </a:t>
          </a:r>
          <a:r>
            <a:rPr lang="en-GB" sz="1100" i="1" kern="1200"/>
            <a:t>Read more on page 20.</a:t>
          </a:r>
        </a:p>
        <a:p>
          <a:pPr marL="57150" lvl="1" indent="-57150" algn="l" defTabSz="444500">
            <a:lnSpc>
              <a:spcPct val="90000"/>
            </a:lnSpc>
            <a:spcBef>
              <a:spcPct val="0"/>
            </a:spcBef>
            <a:spcAft>
              <a:spcPct val="15000"/>
            </a:spcAft>
            <a:buChar char="•"/>
          </a:pPr>
          <a:endParaRPr lang="en-GB" sz="1000" kern="1200"/>
        </a:p>
      </dsp:txBody>
      <dsp:txXfrm>
        <a:off x="1500980" y="5692761"/>
        <a:ext cx="5357019" cy="1293809"/>
      </dsp:txXfrm>
    </dsp:sp>
    <dsp:sp modelId="{FB0DC1F1-8E07-4464-856F-B903D6284C8A}">
      <dsp:nvSpPr>
        <dsp:cNvPr id="0" name=""/>
        <dsp:cNvSpPr/>
      </dsp:nvSpPr>
      <dsp:spPr>
        <a:xfrm>
          <a:off x="129380" y="5822142"/>
          <a:ext cx="1371600" cy="1035047"/>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6000" r="-6000"/>
          </a:stretch>
        </a:blip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98F081-5478-4193-8937-552F7098F85B}">
      <dsp:nvSpPr>
        <dsp:cNvPr id="0" name=""/>
        <dsp:cNvSpPr/>
      </dsp:nvSpPr>
      <dsp:spPr>
        <a:xfrm>
          <a:off x="805"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0" tIns="152400" rIns="152400" bIns="152400" numCol="1" spcCol="1270" anchor="ctr" anchorCtr="0">
          <a:noAutofit/>
        </a:bodyPr>
        <a:lstStyle/>
        <a:p>
          <a:pPr marL="0" lvl="0" indent="0" algn="ctr" defTabSz="1778000">
            <a:lnSpc>
              <a:spcPct val="90000"/>
            </a:lnSpc>
            <a:spcBef>
              <a:spcPct val="0"/>
            </a:spcBef>
            <a:spcAft>
              <a:spcPct val="35000"/>
            </a:spcAft>
            <a:buNone/>
          </a:pPr>
          <a:r>
            <a:rPr lang="en-GB" sz="4000" kern="1200">
              <a:solidFill>
                <a:sysClr val="window" lastClr="FFFFFF"/>
              </a:solidFill>
              <a:latin typeface="Calibri" panose="020F0502020204030204"/>
              <a:ea typeface="+mn-ea"/>
              <a:cs typeface="+mn-cs"/>
            </a:rPr>
            <a:t> Performance</a:t>
          </a:r>
        </a:p>
      </dsp:txBody>
      <dsp:txXfrm>
        <a:off x="805" y="230"/>
        <a:ext cx="3142482" cy="1885489"/>
      </dsp:txXfrm>
    </dsp:sp>
    <dsp:sp modelId="{63453562-9800-4319-861C-0C785CD1D8B4}">
      <dsp:nvSpPr>
        <dsp:cNvPr id="0" name=""/>
        <dsp:cNvSpPr/>
      </dsp:nvSpPr>
      <dsp:spPr>
        <a:xfrm>
          <a:off x="3457536"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GB" sz="2400" kern="1200">
              <a:solidFill>
                <a:sysClr val="window" lastClr="FFFFFF"/>
              </a:solidFill>
              <a:latin typeface="Calibri" panose="020F0502020204030204"/>
              <a:ea typeface="+mn-ea"/>
              <a:cs typeface="+mn-cs"/>
            </a:rPr>
            <a:t>This year we successfully delivered the bulk of our planned work despite global uncertainty.</a:t>
          </a:r>
        </a:p>
      </dsp:txBody>
      <dsp:txXfrm>
        <a:off x="3457536" y="230"/>
        <a:ext cx="3142482" cy="188548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98F081-5478-4193-8937-552F7098F85B}">
      <dsp:nvSpPr>
        <dsp:cNvPr id="0" name=""/>
        <dsp:cNvSpPr/>
      </dsp:nvSpPr>
      <dsp:spPr>
        <a:xfrm>
          <a:off x="805"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0" tIns="152400" rIns="152400" bIns="152400" numCol="1" spcCol="1270" anchor="ctr" anchorCtr="0">
          <a:noAutofit/>
        </a:bodyPr>
        <a:lstStyle/>
        <a:p>
          <a:pPr marL="0" lvl="0" indent="0" algn="ctr" defTabSz="1778000">
            <a:lnSpc>
              <a:spcPct val="90000"/>
            </a:lnSpc>
            <a:spcBef>
              <a:spcPct val="0"/>
            </a:spcBef>
            <a:spcAft>
              <a:spcPct val="35000"/>
            </a:spcAft>
            <a:buNone/>
          </a:pPr>
          <a:r>
            <a:rPr lang="en-GB" sz="4000" kern="1200">
              <a:solidFill>
                <a:sysClr val="window" lastClr="FFFFFF"/>
              </a:solidFill>
              <a:latin typeface="Calibri" panose="020F0502020204030204"/>
              <a:ea typeface="+mn-ea"/>
              <a:cs typeface="+mn-cs"/>
            </a:rPr>
            <a:t>Finance Summary</a:t>
          </a:r>
        </a:p>
      </dsp:txBody>
      <dsp:txXfrm>
        <a:off x="805" y="230"/>
        <a:ext cx="3142482" cy="1885489"/>
      </dsp:txXfrm>
    </dsp:sp>
    <dsp:sp modelId="{63453562-9800-4319-861C-0C785CD1D8B4}">
      <dsp:nvSpPr>
        <dsp:cNvPr id="0" name=""/>
        <dsp:cNvSpPr/>
      </dsp:nvSpPr>
      <dsp:spPr>
        <a:xfrm>
          <a:off x="3457536"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GB" sz="2400" kern="1200">
              <a:solidFill>
                <a:sysClr val="window" lastClr="FFFFFF"/>
              </a:solidFill>
              <a:latin typeface="Calibri" panose="020F0502020204030204"/>
              <a:ea typeface="+mn-ea"/>
              <a:cs typeface="+mn-cs"/>
            </a:rPr>
            <a:t>This year we raised £507,000 in sponsorship for MEDIN, matching that from the previous year </a:t>
          </a:r>
        </a:p>
      </dsp:txBody>
      <dsp:txXfrm>
        <a:off x="3457536" y="230"/>
        <a:ext cx="3142482" cy="188548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98F081-5478-4193-8937-552F7098F85B}">
      <dsp:nvSpPr>
        <dsp:cNvPr id="0" name=""/>
        <dsp:cNvSpPr/>
      </dsp:nvSpPr>
      <dsp:spPr>
        <a:xfrm>
          <a:off x="805"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0" tIns="152400" rIns="152400" bIns="152400" numCol="1" spcCol="1270" anchor="ctr" anchorCtr="0">
          <a:noAutofit/>
        </a:bodyPr>
        <a:lstStyle/>
        <a:p>
          <a:pPr marL="0" lvl="0" indent="0" algn="ctr" defTabSz="1778000">
            <a:lnSpc>
              <a:spcPct val="90000"/>
            </a:lnSpc>
            <a:spcBef>
              <a:spcPct val="0"/>
            </a:spcBef>
            <a:spcAft>
              <a:spcPct val="35000"/>
            </a:spcAft>
            <a:buNone/>
          </a:pPr>
          <a:r>
            <a:rPr lang="en-GB" sz="4000" kern="1200">
              <a:solidFill>
                <a:sysClr val="window" lastClr="FFFFFF"/>
              </a:solidFill>
              <a:latin typeface="Calibri" panose="020F0502020204030204"/>
              <a:ea typeface="+mn-ea"/>
              <a:cs typeface="+mn-cs"/>
            </a:rPr>
            <a:t>Governance</a:t>
          </a:r>
        </a:p>
      </dsp:txBody>
      <dsp:txXfrm>
        <a:off x="805" y="230"/>
        <a:ext cx="3142482" cy="1885489"/>
      </dsp:txXfrm>
    </dsp:sp>
    <dsp:sp modelId="{63453562-9800-4319-861C-0C785CD1D8B4}">
      <dsp:nvSpPr>
        <dsp:cNvPr id="0" name=""/>
        <dsp:cNvSpPr/>
      </dsp:nvSpPr>
      <dsp:spPr>
        <a:xfrm>
          <a:off x="3457536"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0" tIns="247650" rIns="247650" bIns="247650" numCol="1" spcCol="1270" anchor="ctr" anchorCtr="0">
          <a:noAutofit/>
        </a:bodyPr>
        <a:lstStyle/>
        <a:p>
          <a:pPr marL="0" lvl="0" indent="0" algn="ctr" defTabSz="2889250">
            <a:lnSpc>
              <a:spcPct val="90000"/>
            </a:lnSpc>
            <a:spcBef>
              <a:spcPct val="0"/>
            </a:spcBef>
            <a:spcAft>
              <a:spcPct val="35000"/>
            </a:spcAft>
            <a:buNone/>
          </a:pPr>
          <a:endParaRPr lang="en-GB" sz="6500" kern="1200">
            <a:solidFill>
              <a:sysClr val="window" lastClr="FFFFFF"/>
            </a:solidFill>
            <a:latin typeface="Calibri" panose="020F0502020204030204"/>
            <a:ea typeface="+mn-ea"/>
            <a:cs typeface="+mn-cs"/>
          </a:endParaRPr>
        </a:p>
      </dsp:txBody>
      <dsp:txXfrm>
        <a:off x="3457536" y="230"/>
        <a:ext cx="3142482" cy="188548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98F081-5478-4193-8937-552F7098F85B}">
      <dsp:nvSpPr>
        <dsp:cNvPr id="0" name=""/>
        <dsp:cNvSpPr/>
      </dsp:nvSpPr>
      <dsp:spPr>
        <a:xfrm>
          <a:off x="805"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0" tIns="152400" rIns="152400" bIns="152400" numCol="1" spcCol="1270" anchor="ctr" anchorCtr="0">
          <a:noAutofit/>
        </a:bodyPr>
        <a:lstStyle/>
        <a:p>
          <a:pPr marL="0" lvl="0" indent="0" algn="ctr" defTabSz="1778000">
            <a:lnSpc>
              <a:spcPct val="90000"/>
            </a:lnSpc>
            <a:spcBef>
              <a:spcPct val="0"/>
            </a:spcBef>
            <a:spcAft>
              <a:spcPct val="35000"/>
            </a:spcAft>
            <a:buNone/>
          </a:pPr>
          <a:r>
            <a:rPr lang="en-GB" sz="4000" kern="1200">
              <a:solidFill>
                <a:sysClr val="window" lastClr="FFFFFF"/>
              </a:solidFill>
              <a:latin typeface="Calibri" panose="020F0502020204030204"/>
              <a:ea typeface="+mn-ea"/>
              <a:cs typeface="+mn-cs"/>
            </a:rPr>
            <a:t>Network of Data Archive Centres</a:t>
          </a:r>
        </a:p>
      </dsp:txBody>
      <dsp:txXfrm>
        <a:off x="805" y="230"/>
        <a:ext cx="3142482" cy="1885489"/>
      </dsp:txXfrm>
    </dsp:sp>
    <dsp:sp modelId="{63453562-9800-4319-861C-0C785CD1D8B4}">
      <dsp:nvSpPr>
        <dsp:cNvPr id="0" name=""/>
        <dsp:cNvSpPr/>
      </dsp:nvSpPr>
      <dsp:spPr>
        <a:xfrm>
          <a:off x="3457536"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0490" tIns="110490" rIns="110490" bIns="110490" numCol="1" spcCol="1270" anchor="ctr" anchorCtr="0">
          <a:noAutofit/>
        </a:bodyPr>
        <a:lstStyle/>
        <a:p>
          <a:pPr marL="0" lvl="0" indent="0" algn="ctr" defTabSz="1289050">
            <a:lnSpc>
              <a:spcPct val="90000"/>
            </a:lnSpc>
            <a:spcBef>
              <a:spcPct val="0"/>
            </a:spcBef>
            <a:spcAft>
              <a:spcPct val="35000"/>
            </a:spcAft>
            <a:buNone/>
          </a:pPr>
          <a:r>
            <a:rPr lang="en-GB" sz="2900" kern="1200">
              <a:solidFill>
                <a:sysClr val="window" lastClr="FFFFFF"/>
              </a:solidFill>
              <a:latin typeface="Calibri" panose="020F0502020204030204"/>
              <a:ea typeface="+mn-ea"/>
              <a:cs typeface="+mn-cs"/>
            </a:rPr>
            <a:t>This year we broadened our international reputation </a:t>
          </a:r>
          <a:endParaRPr lang="en-GB" sz="2900" kern="1200">
            <a:solidFill>
              <a:srgbClr val="FF0000"/>
            </a:solidFill>
            <a:latin typeface="Calibri" panose="020F0502020204030204"/>
            <a:ea typeface="+mn-ea"/>
            <a:cs typeface="+mn-cs"/>
          </a:endParaRPr>
        </a:p>
      </dsp:txBody>
      <dsp:txXfrm>
        <a:off x="3457536" y="230"/>
        <a:ext cx="3142482" cy="188548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98F081-5478-4193-8937-552F7098F85B}">
      <dsp:nvSpPr>
        <dsp:cNvPr id="0" name=""/>
        <dsp:cNvSpPr/>
      </dsp:nvSpPr>
      <dsp:spPr>
        <a:xfrm>
          <a:off x="809" y="5674"/>
          <a:ext cx="3156086" cy="1893651"/>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7160" tIns="137160" rIns="137160" bIns="137160" numCol="1" spcCol="1270" anchor="ctr" anchorCtr="0">
          <a:noAutofit/>
        </a:bodyPr>
        <a:lstStyle/>
        <a:p>
          <a:pPr marL="0" lvl="0" indent="0" algn="ctr" defTabSz="1600200">
            <a:lnSpc>
              <a:spcPct val="90000"/>
            </a:lnSpc>
            <a:spcBef>
              <a:spcPct val="0"/>
            </a:spcBef>
            <a:spcAft>
              <a:spcPct val="35000"/>
            </a:spcAft>
            <a:buNone/>
          </a:pPr>
          <a:r>
            <a:rPr lang="en-GB" sz="3600" kern="1200">
              <a:solidFill>
                <a:sysClr val="window" lastClr="FFFFFF"/>
              </a:solidFill>
              <a:latin typeface="Calibri" panose="020F0502020204030204"/>
              <a:ea typeface="+mn-ea"/>
              <a:cs typeface="+mn-cs"/>
            </a:rPr>
            <a:t>Standards for marine data and metadata</a:t>
          </a:r>
        </a:p>
      </dsp:txBody>
      <dsp:txXfrm>
        <a:off x="809" y="5674"/>
        <a:ext cx="3156086" cy="1893651"/>
      </dsp:txXfrm>
    </dsp:sp>
    <dsp:sp modelId="{63453562-9800-4319-861C-0C785CD1D8B4}">
      <dsp:nvSpPr>
        <dsp:cNvPr id="0" name=""/>
        <dsp:cNvSpPr/>
      </dsp:nvSpPr>
      <dsp:spPr>
        <a:xfrm>
          <a:off x="3472504" y="5674"/>
          <a:ext cx="3156086" cy="1893651"/>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r>
            <a:rPr lang="en-GB" sz="2800" kern="1200">
              <a:solidFill>
                <a:sysClr val="window" lastClr="FFFFFF"/>
              </a:solidFill>
              <a:latin typeface="Calibri" panose="020F0502020204030204"/>
              <a:ea typeface="+mn-ea"/>
              <a:cs typeface="+mn-cs"/>
            </a:rPr>
            <a:t>This year we developed new resources to deliver online training </a:t>
          </a:r>
        </a:p>
      </dsp:txBody>
      <dsp:txXfrm>
        <a:off x="3472504" y="5674"/>
        <a:ext cx="3156086" cy="189365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98F081-5478-4193-8937-552F7098F85B}">
      <dsp:nvSpPr>
        <dsp:cNvPr id="0" name=""/>
        <dsp:cNvSpPr/>
      </dsp:nvSpPr>
      <dsp:spPr>
        <a:xfrm>
          <a:off x="810" y="13838"/>
          <a:ext cx="3160621" cy="1896372"/>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0" tIns="152400" rIns="152400" bIns="152400" numCol="1" spcCol="1270" anchor="ctr" anchorCtr="0">
          <a:noAutofit/>
        </a:bodyPr>
        <a:lstStyle/>
        <a:p>
          <a:pPr marL="0" lvl="0" indent="0" algn="ctr" defTabSz="1778000">
            <a:lnSpc>
              <a:spcPct val="90000"/>
            </a:lnSpc>
            <a:spcBef>
              <a:spcPct val="0"/>
            </a:spcBef>
            <a:spcAft>
              <a:spcPct val="35000"/>
            </a:spcAft>
            <a:buNone/>
          </a:pPr>
          <a:r>
            <a:rPr lang="en-GB" sz="4000" kern="1200">
              <a:solidFill>
                <a:sysClr val="window" lastClr="FFFFFF"/>
              </a:solidFill>
              <a:latin typeface="Calibri" panose="020F0502020204030204"/>
              <a:ea typeface="+mn-ea"/>
              <a:cs typeface="+mn-cs"/>
            </a:rPr>
            <a:t>Web portal, products and services</a:t>
          </a:r>
        </a:p>
      </dsp:txBody>
      <dsp:txXfrm>
        <a:off x="810" y="13838"/>
        <a:ext cx="3160621" cy="1896372"/>
      </dsp:txXfrm>
    </dsp:sp>
    <dsp:sp modelId="{63453562-9800-4319-861C-0C785CD1D8B4}">
      <dsp:nvSpPr>
        <dsp:cNvPr id="0" name=""/>
        <dsp:cNvSpPr/>
      </dsp:nvSpPr>
      <dsp:spPr>
        <a:xfrm>
          <a:off x="3477493" y="13838"/>
          <a:ext cx="3160621" cy="1896372"/>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0490" tIns="110490" rIns="110490" bIns="110490" numCol="1" spcCol="1270" anchor="ctr" anchorCtr="0">
          <a:noAutofit/>
        </a:bodyPr>
        <a:lstStyle/>
        <a:p>
          <a:pPr marL="0" lvl="0" indent="0" algn="ctr" defTabSz="1289050">
            <a:lnSpc>
              <a:spcPct val="90000"/>
            </a:lnSpc>
            <a:spcBef>
              <a:spcPct val="0"/>
            </a:spcBef>
            <a:spcAft>
              <a:spcPct val="35000"/>
            </a:spcAft>
            <a:buNone/>
          </a:pPr>
          <a:r>
            <a:rPr lang="en-GB" sz="2900" kern="1200">
              <a:solidFill>
                <a:sysClr val="window" lastClr="FFFFFF"/>
              </a:solidFill>
              <a:latin typeface="Calibri" panose="020F0502020204030204"/>
              <a:ea typeface="+mn-ea"/>
              <a:cs typeface="+mn-cs"/>
            </a:rPr>
            <a:t>This year we continued to improve our online tools for our users</a:t>
          </a:r>
        </a:p>
      </dsp:txBody>
      <dsp:txXfrm>
        <a:off x="3477493" y="13838"/>
        <a:ext cx="3160621" cy="189637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98F081-5478-4193-8937-552F7098F85B}">
      <dsp:nvSpPr>
        <dsp:cNvPr id="0" name=""/>
        <dsp:cNvSpPr/>
      </dsp:nvSpPr>
      <dsp:spPr>
        <a:xfrm>
          <a:off x="805"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7160" tIns="137160" rIns="137160" bIns="137160" numCol="1" spcCol="1270" anchor="ctr" anchorCtr="0">
          <a:noAutofit/>
        </a:bodyPr>
        <a:lstStyle/>
        <a:p>
          <a:pPr marL="0" lvl="0" indent="0" algn="ctr" defTabSz="1600200">
            <a:lnSpc>
              <a:spcPct val="90000"/>
            </a:lnSpc>
            <a:spcBef>
              <a:spcPct val="0"/>
            </a:spcBef>
            <a:spcAft>
              <a:spcPct val="35000"/>
            </a:spcAft>
            <a:buNone/>
          </a:pPr>
          <a:r>
            <a:rPr lang="en-GB" sz="3600" kern="1200">
              <a:solidFill>
                <a:sysClr val="window" lastClr="FFFFFF"/>
              </a:solidFill>
              <a:latin typeface="Calibri" panose="020F0502020204030204"/>
              <a:ea typeface="+mn-ea"/>
              <a:cs typeface="+mn-cs"/>
            </a:rPr>
            <a:t>International awareness and coordination</a:t>
          </a:r>
        </a:p>
      </dsp:txBody>
      <dsp:txXfrm>
        <a:off x="805" y="230"/>
        <a:ext cx="3142482" cy="1885489"/>
      </dsp:txXfrm>
    </dsp:sp>
    <dsp:sp modelId="{63453562-9800-4319-861C-0C785CD1D8B4}">
      <dsp:nvSpPr>
        <dsp:cNvPr id="0" name=""/>
        <dsp:cNvSpPr/>
      </dsp:nvSpPr>
      <dsp:spPr>
        <a:xfrm>
          <a:off x="3457536" y="230"/>
          <a:ext cx="3142482" cy="1885489"/>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GB" sz="2400" kern="1200">
              <a:solidFill>
                <a:sysClr val="window" lastClr="FFFFFF"/>
              </a:solidFill>
              <a:latin typeface="Calibri" panose="020F0502020204030204"/>
              <a:ea typeface="+mn-ea"/>
              <a:cs typeface="+mn-cs"/>
            </a:rPr>
            <a:t>This year we continued to facilitate international knowledge and data exchange</a:t>
          </a:r>
        </a:p>
      </dsp:txBody>
      <dsp:txXfrm>
        <a:off x="3457536" y="230"/>
        <a:ext cx="3142482" cy="1885489"/>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16D7F-5A27-488C-A7C3-A32EFFA89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MEDIN_Annual_Report_2021_template</Template>
  <TotalTime>94</TotalTime>
  <Pages>28</Pages>
  <Words>7404</Words>
  <Characters>42208</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Postlethwaite, Clare</dc:creator>
  <cp:keywords/>
  <dc:description/>
  <cp:lastModifiedBy>Postlethwaite, Clare</cp:lastModifiedBy>
  <cp:revision>4</cp:revision>
  <cp:lastPrinted>2020-09-23T16:55:00Z</cp:lastPrinted>
  <dcterms:created xsi:type="dcterms:W3CDTF">2021-12-01T12:32:00Z</dcterms:created>
  <dcterms:modified xsi:type="dcterms:W3CDTF">2021-12-01T14:06:00Z</dcterms:modified>
</cp:coreProperties>
</file>