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835A9" w14:textId="1C7E6DB5" w:rsidR="001508D6" w:rsidRPr="004F706C" w:rsidRDefault="00DE2080" w:rsidP="001508D6">
      <w:pPr>
        <w:jc w:val="center"/>
        <w:rPr>
          <w:rFonts w:ascii="Arial" w:hAnsi="Arial"/>
          <w:b/>
          <w:sz w:val="48"/>
        </w:rPr>
      </w:pPr>
      <w:r w:rsidRPr="00DE2080">
        <w:rPr>
          <w:rFonts w:ascii="Arial" w:hAnsi="Arial"/>
          <w:b/>
          <w:noProof/>
          <w:sz w:val="48"/>
        </w:rPr>
        <mc:AlternateContent>
          <mc:Choice Requires="wps">
            <w:drawing>
              <wp:anchor distT="45720" distB="45720" distL="114300" distR="114300" simplePos="0" relativeHeight="251659264" behindDoc="0" locked="0" layoutInCell="1" allowOverlap="1" wp14:anchorId="0382E37E" wp14:editId="35924178">
                <wp:simplePos x="0" y="0"/>
                <wp:positionH relativeFrom="column">
                  <wp:posOffset>685800</wp:posOffset>
                </wp:positionH>
                <wp:positionV relativeFrom="paragraph">
                  <wp:posOffset>180975</wp:posOffset>
                </wp:positionV>
                <wp:extent cx="51054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404620"/>
                        </a:xfrm>
                        <a:prstGeom prst="rect">
                          <a:avLst/>
                        </a:prstGeom>
                        <a:solidFill>
                          <a:srgbClr val="FFFFFF"/>
                        </a:solidFill>
                        <a:ln w="9525">
                          <a:solidFill>
                            <a:srgbClr val="000000"/>
                          </a:solidFill>
                          <a:miter lim="800000"/>
                          <a:headEnd/>
                          <a:tailEnd/>
                        </a:ln>
                      </wps:spPr>
                      <wps:txbx>
                        <w:txbxContent>
                          <w:p w14:paraId="2B06265F" w14:textId="113D8153" w:rsidR="00DE2080" w:rsidRPr="00DE2080" w:rsidRDefault="00DE2080" w:rsidP="00DE2080">
                            <w:pPr>
                              <w:pStyle w:val="Heading1"/>
                              <w:rPr>
                                <w:sz w:val="40"/>
                                <w:szCs w:val="40"/>
                              </w:rPr>
                            </w:pPr>
                            <w:r>
                              <w:rPr>
                                <w:sz w:val="40"/>
                                <w:szCs w:val="40"/>
                              </w:rPr>
                              <w:t xml:space="preserve">MEDIN Business Plan </w:t>
                            </w:r>
                            <w:r w:rsidRPr="00DE2080">
                              <w:rPr>
                                <w:sz w:val="40"/>
                                <w:szCs w:val="40"/>
                              </w:rPr>
                              <w:t>Consultation 1:</w:t>
                            </w:r>
                          </w:p>
                          <w:p w14:paraId="40C32395" w14:textId="35EB58A5" w:rsidR="00DE2080" w:rsidRPr="00DE2080" w:rsidRDefault="00DE2080" w:rsidP="00DE2080">
                            <w:pPr>
                              <w:shd w:val="clear" w:color="auto" w:fill="FFFFFF"/>
                              <w:textAlignment w:val="baseline"/>
                              <w:rPr>
                                <w:rFonts w:ascii="Calibri" w:hAnsi="Calibri" w:cs="Calibri"/>
                                <w:color w:val="000000"/>
                              </w:rPr>
                            </w:pPr>
                            <w:r>
                              <w:rPr>
                                <w:rFonts w:ascii="Calibri" w:hAnsi="Calibri" w:cs="Calibri"/>
                                <w:color w:val="000000"/>
                              </w:rPr>
                              <w:t xml:space="preserve">We </w:t>
                            </w:r>
                            <w:r w:rsidRPr="00DE2080">
                              <w:rPr>
                                <w:rFonts w:ascii="Calibri" w:hAnsi="Calibri" w:cs="Calibri"/>
                                <w:color w:val="000000"/>
                              </w:rPr>
                              <w:t xml:space="preserve">have started the exciting process of writing a new Business Plan for the Marine Environmental Data and Information Network (MEDIN). Over the past year, we have </w:t>
                            </w:r>
                            <w:r>
                              <w:rPr>
                                <w:rFonts w:ascii="Calibri" w:hAnsi="Calibri" w:cs="Calibri"/>
                                <w:color w:val="000000"/>
                              </w:rPr>
                              <w:t>collected</w:t>
                            </w:r>
                            <w:r w:rsidRPr="00DE2080">
                              <w:rPr>
                                <w:rFonts w:ascii="Calibri" w:hAnsi="Calibri" w:cs="Calibri"/>
                                <w:color w:val="000000"/>
                              </w:rPr>
                              <w:t xml:space="preserve"> stakeholder requirements and, since March, a small group of MEDIN partners have started the process of pulling all those ideas together. We are aiming to have a completed draft ready for November 2023 and plan to consult you at each stage of drafting.</w:t>
                            </w:r>
                            <w:r>
                              <w:rPr>
                                <w:rFonts w:ascii="Calibri" w:hAnsi="Calibri" w:cs="Calibri"/>
                                <w:color w:val="000000"/>
                              </w:rPr>
                              <w:t xml:space="preserve"> </w:t>
                            </w:r>
                          </w:p>
                          <w:p w14:paraId="1938DC5B" w14:textId="77777777" w:rsidR="00DE2080" w:rsidRPr="00DE2080" w:rsidRDefault="00DE2080" w:rsidP="00DE2080">
                            <w:pPr>
                              <w:shd w:val="clear" w:color="auto" w:fill="FFFFFF"/>
                              <w:textAlignment w:val="baseline"/>
                              <w:rPr>
                                <w:rFonts w:ascii="Calibri" w:hAnsi="Calibri" w:cs="Calibri"/>
                                <w:color w:val="000000"/>
                              </w:rPr>
                            </w:pPr>
                          </w:p>
                          <w:p w14:paraId="5D5CB1E4" w14:textId="0CD0220F" w:rsidR="00DE2080" w:rsidRPr="00DE2080" w:rsidRDefault="00DE2080" w:rsidP="00DE2080">
                            <w:pPr>
                              <w:shd w:val="clear" w:color="auto" w:fill="FFFFFF"/>
                              <w:textAlignment w:val="baseline"/>
                              <w:rPr>
                                <w:rFonts w:ascii="Calibri" w:hAnsi="Calibri" w:cs="Calibri"/>
                                <w:color w:val="000000"/>
                              </w:rPr>
                            </w:pPr>
                            <w:r w:rsidRPr="00DE2080">
                              <w:rPr>
                                <w:rFonts w:ascii="Calibri" w:hAnsi="Calibri" w:cs="Calibri"/>
                                <w:color w:val="000000"/>
                              </w:rPr>
                              <w:t xml:space="preserve">So, as a first step, </w:t>
                            </w:r>
                            <w:r>
                              <w:rPr>
                                <w:rFonts w:ascii="Calibri" w:hAnsi="Calibri" w:cs="Calibri"/>
                                <w:color w:val="000000"/>
                              </w:rPr>
                              <w:t>this document details</w:t>
                            </w:r>
                            <w:r w:rsidRPr="00DE2080">
                              <w:rPr>
                                <w:rFonts w:ascii="Calibri" w:hAnsi="Calibri" w:cs="Calibri"/>
                                <w:color w:val="000000"/>
                              </w:rPr>
                              <w:t xml:space="preserve"> MEDIN's </w:t>
                            </w:r>
                            <w:r w:rsidRPr="00C67C42">
                              <w:rPr>
                                <w:rFonts w:ascii="Calibri" w:hAnsi="Calibri" w:cs="Calibri"/>
                                <w:b/>
                                <w:color w:val="000000"/>
                              </w:rPr>
                              <w:t>draft vision, mission, goals and high-level objectives</w:t>
                            </w:r>
                            <w:r w:rsidRPr="00DE2080">
                              <w:rPr>
                                <w:rFonts w:ascii="Calibri" w:hAnsi="Calibri" w:cs="Calibri"/>
                                <w:color w:val="000000"/>
                              </w:rPr>
                              <w:t xml:space="preserve"> for 2024-2029.</w:t>
                            </w:r>
                            <w:r>
                              <w:rPr>
                                <w:rFonts w:ascii="Calibri" w:hAnsi="Calibri" w:cs="Calibri"/>
                                <w:color w:val="000000"/>
                              </w:rPr>
                              <w:t xml:space="preserve"> You are invited to </w:t>
                            </w:r>
                            <w:r w:rsidRPr="00DE2080">
                              <w:rPr>
                                <w:rFonts w:ascii="Calibri" w:hAnsi="Calibri" w:cs="Calibri"/>
                                <w:color w:val="000000"/>
                              </w:rPr>
                              <w:t>review these with your</w:t>
                            </w:r>
                            <w:r>
                              <w:rPr>
                                <w:rFonts w:ascii="Calibri" w:hAnsi="Calibri" w:cs="Calibri"/>
                                <w:color w:val="000000"/>
                              </w:rPr>
                              <w:t xml:space="preserve"> colleagues and leadership team</w:t>
                            </w:r>
                            <w:r w:rsidRPr="00DE2080">
                              <w:rPr>
                                <w:rFonts w:ascii="Calibri" w:hAnsi="Calibri" w:cs="Calibri"/>
                                <w:color w:val="000000"/>
                              </w:rPr>
                              <w:t xml:space="preserve"> to ensure that these strategic areas will meet your organisation’s needs for MEDIN over the next five years.</w:t>
                            </w:r>
                            <w:r>
                              <w:rPr>
                                <w:rFonts w:ascii="Calibri" w:hAnsi="Calibri" w:cs="Calibri"/>
                                <w:color w:val="000000"/>
                              </w:rPr>
                              <w:t xml:space="preserve"> </w:t>
                            </w:r>
                          </w:p>
                          <w:p w14:paraId="48215796" w14:textId="77777777" w:rsidR="00DE2080" w:rsidRPr="00DE2080" w:rsidRDefault="00DE2080" w:rsidP="00DE2080">
                            <w:pPr>
                              <w:shd w:val="clear" w:color="auto" w:fill="FFFFFF"/>
                              <w:textAlignment w:val="baseline"/>
                              <w:rPr>
                                <w:rFonts w:ascii="Calibri" w:hAnsi="Calibri" w:cs="Calibri"/>
                                <w:color w:val="000000"/>
                              </w:rPr>
                            </w:pPr>
                          </w:p>
                          <w:p w14:paraId="4229F494" w14:textId="5C73A87F" w:rsidR="00DE2080" w:rsidRPr="00DE2080" w:rsidRDefault="00DE2080" w:rsidP="00DE2080">
                            <w:pPr>
                              <w:shd w:val="clear" w:color="auto" w:fill="FFFFFF"/>
                              <w:textAlignment w:val="baseline"/>
                              <w:rPr>
                                <w:rFonts w:ascii="Calibri" w:hAnsi="Calibri" w:cs="Calibri"/>
                                <w:color w:val="000000"/>
                              </w:rPr>
                            </w:pPr>
                            <w:r w:rsidRPr="00DE2080">
                              <w:rPr>
                                <w:rFonts w:ascii="Calibri" w:hAnsi="Calibri" w:cs="Calibri"/>
                                <w:color w:val="000000"/>
                              </w:rPr>
                              <w:t xml:space="preserve">Please provide your organisation's coordinated feedback using the </w:t>
                            </w:r>
                            <w:r>
                              <w:rPr>
                                <w:rFonts w:ascii="Calibri" w:hAnsi="Calibri" w:cs="Calibri"/>
                                <w:color w:val="000000"/>
                              </w:rPr>
                              <w:t>accompanying</w:t>
                            </w:r>
                            <w:r w:rsidRPr="00DE2080">
                              <w:rPr>
                                <w:rFonts w:ascii="Calibri" w:hAnsi="Calibri" w:cs="Calibri"/>
                                <w:color w:val="000000"/>
                              </w:rPr>
                              <w:t xml:space="preserve"> spreadsheet by 28</w:t>
                            </w:r>
                            <w:r w:rsidRPr="00DE2080">
                              <w:rPr>
                                <w:rFonts w:ascii="Calibri" w:hAnsi="Calibri" w:cs="Calibri"/>
                                <w:color w:val="000000"/>
                                <w:bdr w:val="none" w:sz="0" w:space="0" w:color="auto" w:frame="1"/>
                                <w:vertAlign w:val="superscript"/>
                              </w:rPr>
                              <w:t>th</w:t>
                            </w:r>
                            <w:r w:rsidRPr="00DE2080">
                              <w:rPr>
                                <w:rFonts w:ascii="Calibri" w:hAnsi="Calibri" w:cs="Calibri"/>
                                <w:color w:val="000000"/>
                                <w:bdr w:val="none" w:sz="0" w:space="0" w:color="auto" w:frame="1"/>
                              </w:rPr>
                              <w:t> July 2023</w:t>
                            </w:r>
                            <w:r w:rsidRPr="00DE2080">
                              <w:rPr>
                                <w:rFonts w:ascii="Calibri" w:hAnsi="Calibri" w:cs="Calibri"/>
                                <w:color w:val="000000"/>
                              </w:rPr>
                              <w:t>.</w:t>
                            </w:r>
                            <w:r w:rsidR="00797E1F">
                              <w:rPr>
                                <w:rFonts w:ascii="Calibri" w:hAnsi="Calibri" w:cs="Calibri"/>
                                <w:color w:val="000000"/>
                              </w:rPr>
                              <w:t xml:space="preserve"> Feedback should be emailed to Clare Postlethwaite (cfpo@noc.ac.uk)</w:t>
                            </w:r>
                          </w:p>
                          <w:p w14:paraId="356A3EA4" w14:textId="222D5770" w:rsidR="00DE2080" w:rsidRPr="00DE2080" w:rsidRDefault="00DE2080" w:rsidP="00DE2080">
                            <w:pPr>
                              <w:shd w:val="clear" w:color="auto" w:fill="FFFFFF"/>
                              <w:textAlignment w:val="baseline"/>
                              <w:rPr>
                                <w:rFonts w:ascii="Calibri" w:hAnsi="Calibri" w:cs="Calibri"/>
                                <w:color w:val="000000"/>
                              </w:rPr>
                            </w:pPr>
                            <w:r w:rsidRPr="00DE2080">
                              <w:rPr>
                                <w:rFonts w:ascii="Calibri" w:hAnsi="Calibri" w:cs="Calibri"/>
                                <w:color w:val="000000"/>
                              </w:rPr>
                              <w:t> </w:t>
                            </w:r>
                          </w:p>
                          <w:p w14:paraId="124C7561" w14:textId="0F6A7F9F" w:rsidR="00DE2080" w:rsidRPr="00C67C42" w:rsidRDefault="001D1F61">
                            <w:pPr>
                              <w:rPr>
                                <w:rFonts w:asciiTheme="minorHAnsi" w:hAnsiTheme="minorHAnsi" w:cstheme="minorHAnsi"/>
                              </w:rPr>
                            </w:pPr>
                            <w:r w:rsidRPr="00C67C42">
                              <w:rPr>
                                <w:rFonts w:asciiTheme="minorHAnsi" w:hAnsiTheme="minorHAnsi" w:cstheme="minorHAnsi"/>
                              </w:rPr>
                              <w:t xml:space="preserve">Further consultations </w:t>
                            </w:r>
                            <w:r w:rsidR="00C67C42">
                              <w:rPr>
                                <w:rFonts w:asciiTheme="minorHAnsi" w:hAnsiTheme="minorHAnsi" w:cstheme="minorHAnsi"/>
                              </w:rPr>
                              <w:t xml:space="preserve">on other aspects of the MEDIN Business Plan </w:t>
                            </w:r>
                            <w:r w:rsidRPr="00C67C42">
                              <w:rPr>
                                <w:rFonts w:asciiTheme="minorHAnsi" w:hAnsiTheme="minorHAnsi" w:cstheme="minorHAnsi"/>
                              </w:rPr>
                              <w:t>will follow.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2E37E" id="_x0000_t202" coordsize="21600,21600" o:spt="202" path="m,l,21600r21600,l21600,xe">
                <v:stroke joinstyle="miter"/>
                <v:path gradientshapeok="t" o:connecttype="rect"/>
              </v:shapetype>
              <v:shape id="Text Box 2" o:spid="_x0000_s1026" type="#_x0000_t202" style="position:absolute;left:0;text-align:left;margin-left:54pt;margin-top:14.25pt;width:4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zIIwIAAEcEAAAOAAAAZHJzL2Uyb0RvYy54bWysU9uO2yAQfa/Uf0C8N77I2Y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Lot8WeXo4ugrqry6KJN6Gaufn1vnw3sBmsRDQx2Kn+DZ&#10;/sGHmA6rn0Pibx6U7DZSqWS4bbtWjuwZNsomrVTBizBlyNjQ62W5nBn4K0Se1p8gtAzY8Urqhl6d&#10;glgdeXtnutSPgUk1nzFlZY5ERu5mFsPUTkdhWugOSKmDubNxEvEwgPtByYhd3VD/fcecoER9MCjL&#10;dVFVcQySUS0vkUPizj3tuYcZjlANDZTMx3VIo5MIs3co30YmYqPOcybHXLFbE9/HyYrjcG6nqF/z&#10;v/oJAAD//wMAUEsDBBQABgAIAAAAIQA26RLm3gAAAAoBAAAPAAAAZHJzL2Rvd25yZXYueG1sTI/B&#10;TsMwEETvSPyDtUhcKuo0kJKGOBVU6olTQ7m78ZJExOtgu2369yyncpzZ0eybcj3ZQZzQh96RgsU8&#10;AYHUONNTq2D/sX3IQYSoyejBESq4YIB1dXtT6sK4M+3wVMdWcAmFQivoYhwLKUPTodVh7kYkvn05&#10;b3Vk6VtpvD5zuR1kmiRLaXVP/KHTI246bL7ro1Ww/KkfZ++fZka7y/bNNzYzm32m1P3d9PoCIuIU&#10;r2H4w2d0qJjp4I5kghhYJzlviQrSPAPBgdUiZePAxtPqGWRVyv8Tql8AAAD//wMAUEsBAi0AFAAG&#10;AAgAAAAhALaDOJL+AAAA4QEAABMAAAAAAAAAAAAAAAAAAAAAAFtDb250ZW50X1R5cGVzXS54bWxQ&#10;SwECLQAUAAYACAAAACEAOP0h/9YAAACUAQAACwAAAAAAAAAAAAAAAAAvAQAAX3JlbHMvLnJlbHNQ&#10;SwECLQAUAAYACAAAACEAh0tcyCMCAABHBAAADgAAAAAAAAAAAAAAAAAuAgAAZHJzL2Uyb0RvYy54&#10;bWxQSwECLQAUAAYACAAAACEANukS5t4AAAAKAQAADwAAAAAAAAAAAAAAAAB9BAAAZHJzL2Rvd25y&#10;ZXYueG1sUEsFBgAAAAAEAAQA8wAAAIgFAAAAAA==&#10;">
                <v:textbox style="mso-fit-shape-to-text:t">
                  <w:txbxContent>
                    <w:p w14:paraId="2B06265F" w14:textId="113D8153" w:rsidR="00DE2080" w:rsidRPr="00DE2080" w:rsidRDefault="00DE2080" w:rsidP="00DE2080">
                      <w:pPr>
                        <w:pStyle w:val="Heading1"/>
                        <w:rPr>
                          <w:sz w:val="40"/>
                          <w:szCs w:val="40"/>
                        </w:rPr>
                      </w:pPr>
                      <w:r>
                        <w:rPr>
                          <w:sz w:val="40"/>
                          <w:szCs w:val="40"/>
                        </w:rPr>
                        <w:t xml:space="preserve">MEDIN Business Plan </w:t>
                      </w:r>
                      <w:r w:rsidRPr="00DE2080">
                        <w:rPr>
                          <w:sz w:val="40"/>
                          <w:szCs w:val="40"/>
                        </w:rPr>
                        <w:t>Consultation 1:</w:t>
                      </w:r>
                    </w:p>
                    <w:p w14:paraId="40C32395" w14:textId="35EB58A5" w:rsidR="00DE2080" w:rsidRPr="00DE2080" w:rsidRDefault="00DE2080" w:rsidP="00DE2080">
                      <w:pPr>
                        <w:shd w:val="clear" w:color="auto" w:fill="FFFFFF"/>
                        <w:textAlignment w:val="baseline"/>
                        <w:rPr>
                          <w:rFonts w:ascii="Calibri" w:hAnsi="Calibri" w:cs="Calibri"/>
                          <w:color w:val="000000"/>
                        </w:rPr>
                      </w:pPr>
                      <w:r>
                        <w:rPr>
                          <w:rFonts w:ascii="Calibri" w:hAnsi="Calibri" w:cs="Calibri"/>
                          <w:color w:val="000000"/>
                        </w:rPr>
                        <w:t xml:space="preserve">We </w:t>
                      </w:r>
                      <w:r w:rsidRPr="00DE2080">
                        <w:rPr>
                          <w:rFonts w:ascii="Calibri" w:hAnsi="Calibri" w:cs="Calibri"/>
                          <w:color w:val="000000"/>
                        </w:rPr>
                        <w:t xml:space="preserve">have started the exciting process of writing a new Business Plan for the Marine Environmental Data and Information Network (MEDIN). Over the past year, we have </w:t>
                      </w:r>
                      <w:r>
                        <w:rPr>
                          <w:rFonts w:ascii="Calibri" w:hAnsi="Calibri" w:cs="Calibri"/>
                          <w:color w:val="000000"/>
                        </w:rPr>
                        <w:t>collected</w:t>
                      </w:r>
                      <w:r w:rsidRPr="00DE2080">
                        <w:rPr>
                          <w:rFonts w:ascii="Calibri" w:hAnsi="Calibri" w:cs="Calibri"/>
                          <w:color w:val="000000"/>
                        </w:rPr>
                        <w:t xml:space="preserve"> stakeholder requirements and, since March, a small group of MEDIN partners have started the process of pulling all those ideas together. We are aiming to have a completed draft ready for November 2023 and plan to consult you at each stage of drafting.</w:t>
                      </w:r>
                      <w:r>
                        <w:rPr>
                          <w:rFonts w:ascii="Calibri" w:hAnsi="Calibri" w:cs="Calibri"/>
                          <w:color w:val="000000"/>
                        </w:rPr>
                        <w:t xml:space="preserve"> </w:t>
                      </w:r>
                    </w:p>
                    <w:p w14:paraId="1938DC5B" w14:textId="77777777" w:rsidR="00DE2080" w:rsidRPr="00DE2080" w:rsidRDefault="00DE2080" w:rsidP="00DE2080">
                      <w:pPr>
                        <w:shd w:val="clear" w:color="auto" w:fill="FFFFFF"/>
                        <w:textAlignment w:val="baseline"/>
                        <w:rPr>
                          <w:rFonts w:ascii="Calibri" w:hAnsi="Calibri" w:cs="Calibri"/>
                          <w:color w:val="000000"/>
                        </w:rPr>
                      </w:pPr>
                    </w:p>
                    <w:p w14:paraId="5D5CB1E4" w14:textId="0CD0220F" w:rsidR="00DE2080" w:rsidRPr="00DE2080" w:rsidRDefault="00DE2080" w:rsidP="00DE2080">
                      <w:pPr>
                        <w:shd w:val="clear" w:color="auto" w:fill="FFFFFF"/>
                        <w:textAlignment w:val="baseline"/>
                        <w:rPr>
                          <w:rFonts w:ascii="Calibri" w:hAnsi="Calibri" w:cs="Calibri"/>
                          <w:color w:val="000000"/>
                        </w:rPr>
                      </w:pPr>
                      <w:r w:rsidRPr="00DE2080">
                        <w:rPr>
                          <w:rFonts w:ascii="Calibri" w:hAnsi="Calibri" w:cs="Calibri"/>
                          <w:color w:val="000000"/>
                        </w:rPr>
                        <w:t xml:space="preserve">So, as a first step, </w:t>
                      </w:r>
                      <w:r>
                        <w:rPr>
                          <w:rFonts w:ascii="Calibri" w:hAnsi="Calibri" w:cs="Calibri"/>
                          <w:color w:val="000000"/>
                        </w:rPr>
                        <w:t>this document details</w:t>
                      </w:r>
                      <w:r w:rsidRPr="00DE2080">
                        <w:rPr>
                          <w:rFonts w:ascii="Calibri" w:hAnsi="Calibri" w:cs="Calibri"/>
                          <w:color w:val="000000"/>
                        </w:rPr>
                        <w:t xml:space="preserve"> MEDIN's </w:t>
                      </w:r>
                      <w:r w:rsidRPr="00C67C42">
                        <w:rPr>
                          <w:rFonts w:ascii="Calibri" w:hAnsi="Calibri" w:cs="Calibri"/>
                          <w:b/>
                          <w:color w:val="000000"/>
                        </w:rPr>
                        <w:t>draft vision, mission, goals and high-level objectives</w:t>
                      </w:r>
                      <w:r w:rsidRPr="00DE2080">
                        <w:rPr>
                          <w:rFonts w:ascii="Calibri" w:hAnsi="Calibri" w:cs="Calibri"/>
                          <w:color w:val="000000"/>
                        </w:rPr>
                        <w:t xml:space="preserve"> for 2024-2029.</w:t>
                      </w:r>
                      <w:r>
                        <w:rPr>
                          <w:rFonts w:ascii="Calibri" w:hAnsi="Calibri" w:cs="Calibri"/>
                          <w:color w:val="000000"/>
                        </w:rPr>
                        <w:t xml:space="preserve"> You are invited to </w:t>
                      </w:r>
                      <w:r w:rsidRPr="00DE2080">
                        <w:rPr>
                          <w:rFonts w:ascii="Calibri" w:hAnsi="Calibri" w:cs="Calibri"/>
                          <w:color w:val="000000"/>
                        </w:rPr>
                        <w:t>review these with your</w:t>
                      </w:r>
                      <w:r>
                        <w:rPr>
                          <w:rFonts w:ascii="Calibri" w:hAnsi="Calibri" w:cs="Calibri"/>
                          <w:color w:val="000000"/>
                        </w:rPr>
                        <w:t xml:space="preserve"> colleagues and leadership team</w:t>
                      </w:r>
                      <w:r w:rsidRPr="00DE2080">
                        <w:rPr>
                          <w:rFonts w:ascii="Calibri" w:hAnsi="Calibri" w:cs="Calibri"/>
                          <w:color w:val="000000"/>
                        </w:rPr>
                        <w:t xml:space="preserve"> to ensure that these strategic areas will meet your organisation’s needs for MEDIN over the next five years.</w:t>
                      </w:r>
                      <w:r>
                        <w:rPr>
                          <w:rFonts w:ascii="Calibri" w:hAnsi="Calibri" w:cs="Calibri"/>
                          <w:color w:val="000000"/>
                        </w:rPr>
                        <w:t xml:space="preserve"> </w:t>
                      </w:r>
                    </w:p>
                    <w:p w14:paraId="48215796" w14:textId="77777777" w:rsidR="00DE2080" w:rsidRPr="00DE2080" w:rsidRDefault="00DE2080" w:rsidP="00DE2080">
                      <w:pPr>
                        <w:shd w:val="clear" w:color="auto" w:fill="FFFFFF"/>
                        <w:textAlignment w:val="baseline"/>
                        <w:rPr>
                          <w:rFonts w:ascii="Calibri" w:hAnsi="Calibri" w:cs="Calibri"/>
                          <w:color w:val="000000"/>
                        </w:rPr>
                      </w:pPr>
                    </w:p>
                    <w:p w14:paraId="4229F494" w14:textId="5C73A87F" w:rsidR="00DE2080" w:rsidRPr="00DE2080" w:rsidRDefault="00DE2080" w:rsidP="00DE2080">
                      <w:pPr>
                        <w:shd w:val="clear" w:color="auto" w:fill="FFFFFF"/>
                        <w:textAlignment w:val="baseline"/>
                        <w:rPr>
                          <w:rFonts w:ascii="Calibri" w:hAnsi="Calibri" w:cs="Calibri"/>
                          <w:color w:val="000000"/>
                        </w:rPr>
                      </w:pPr>
                      <w:r w:rsidRPr="00DE2080">
                        <w:rPr>
                          <w:rFonts w:ascii="Calibri" w:hAnsi="Calibri" w:cs="Calibri"/>
                          <w:color w:val="000000"/>
                        </w:rPr>
                        <w:t xml:space="preserve">Please provide your organisation's coordinated feedback using the </w:t>
                      </w:r>
                      <w:r>
                        <w:rPr>
                          <w:rFonts w:ascii="Calibri" w:hAnsi="Calibri" w:cs="Calibri"/>
                          <w:color w:val="000000"/>
                        </w:rPr>
                        <w:t>accompanying</w:t>
                      </w:r>
                      <w:r w:rsidRPr="00DE2080">
                        <w:rPr>
                          <w:rFonts w:ascii="Calibri" w:hAnsi="Calibri" w:cs="Calibri"/>
                          <w:color w:val="000000"/>
                        </w:rPr>
                        <w:t xml:space="preserve"> spreadsheet by 28</w:t>
                      </w:r>
                      <w:r w:rsidRPr="00DE2080">
                        <w:rPr>
                          <w:rFonts w:ascii="Calibri" w:hAnsi="Calibri" w:cs="Calibri"/>
                          <w:color w:val="000000"/>
                          <w:bdr w:val="none" w:sz="0" w:space="0" w:color="auto" w:frame="1"/>
                          <w:vertAlign w:val="superscript"/>
                        </w:rPr>
                        <w:t>th</w:t>
                      </w:r>
                      <w:r w:rsidRPr="00DE2080">
                        <w:rPr>
                          <w:rFonts w:ascii="Calibri" w:hAnsi="Calibri" w:cs="Calibri"/>
                          <w:color w:val="000000"/>
                          <w:bdr w:val="none" w:sz="0" w:space="0" w:color="auto" w:frame="1"/>
                        </w:rPr>
                        <w:t> July 2023</w:t>
                      </w:r>
                      <w:r w:rsidRPr="00DE2080">
                        <w:rPr>
                          <w:rFonts w:ascii="Calibri" w:hAnsi="Calibri" w:cs="Calibri"/>
                          <w:color w:val="000000"/>
                        </w:rPr>
                        <w:t>.</w:t>
                      </w:r>
                      <w:r w:rsidR="00797E1F">
                        <w:rPr>
                          <w:rFonts w:ascii="Calibri" w:hAnsi="Calibri" w:cs="Calibri"/>
                          <w:color w:val="000000"/>
                        </w:rPr>
                        <w:t xml:space="preserve"> Feedback should be emailed to Clare Postlethwaite (cfpo@noc.ac.uk)</w:t>
                      </w:r>
                    </w:p>
                    <w:p w14:paraId="356A3EA4" w14:textId="222D5770" w:rsidR="00DE2080" w:rsidRPr="00DE2080" w:rsidRDefault="00DE2080" w:rsidP="00DE2080">
                      <w:pPr>
                        <w:shd w:val="clear" w:color="auto" w:fill="FFFFFF"/>
                        <w:textAlignment w:val="baseline"/>
                        <w:rPr>
                          <w:rFonts w:ascii="Calibri" w:hAnsi="Calibri" w:cs="Calibri"/>
                          <w:color w:val="000000"/>
                        </w:rPr>
                      </w:pPr>
                      <w:r w:rsidRPr="00DE2080">
                        <w:rPr>
                          <w:rFonts w:ascii="Calibri" w:hAnsi="Calibri" w:cs="Calibri"/>
                          <w:color w:val="000000"/>
                        </w:rPr>
                        <w:t> </w:t>
                      </w:r>
                    </w:p>
                    <w:p w14:paraId="124C7561" w14:textId="0F6A7F9F" w:rsidR="00DE2080" w:rsidRPr="00C67C42" w:rsidRDefault="001D1F61">
                      <w:pPr>
                        <w:rPr>
                          <w:rFonts w:asciiTheme="minorHAnsi" w:hAnsiTheme="minorHAnsi" w:cstheme="minorHAnsi"/>
                        </w:rPr>
                      </w:pPr>
                      <w:r w:rsidRPr="00C67C42">
                        <w:rPr>
                          <w:rFonts w:asciiTheme="minorHAnsi" w:hAnsiTheme="minorHAnsi" w:cstheme="minorHAnsi"/>
                        </w:rPr>
                        <w:t xml:space="preserve">Further consultations </w:t>
                      </w:r>
                      <w:r w:rsidR="00C67C42">
                        <w:rPr>
                          <w:rFonts w:asciiTheme="minorHAnsi" w:hAnsiTheme="minorHAnsi" w:cstheme="minorHAnsi"/>
                        </w:rPr>
                        <w:t xml:space="preserve">on other aspects of the MEDIN Business Plan </w:t>
                      </w:r>
                      <w:r w:rsidRPr="00C67C42">
                        <w:rPr>
                          <w:rFonts w:asciiTheme="minorHAnsi" w:hAnsiTheme="minorHAnsi" w:cstheme="minorHAnsi"/>
                        </w:rPr>
                        <w:t>will follow.</w:t>
                      </w:r>
                    </w:p>
                  </w:txbxContent>
                </v:textbox>
                <w10:wrap type="square"/>
              </v:shape>
            </w:pict>
          </mc:Fallback>
        </mc:AlternateContent>
      </w:r>
    </w:p>
    <w:p w14:paraId="54BDA430" w14:textId="77777777" w:rsidR="00DE2080" w:rsidRDefault="00DE2080">
      <w:pPr>
        <w:spacing w:after="160" w:line="259" w:lineRule="auto"/>
        <w:rPr>
          <w:rFonts w:ascii="Arial" w:hAnsi="Arial"/>
          <w:b/>
          <w:sz w:val="48"/>
        </w:rPr>
      </w:pPr>
      <w:r>
        <w:rPr>
          <w:rFonts w:ascii="Arial" w:hAnsi="Arial"/>
          <w:b/>
          <w:sz w:val="48"/>
        </w:rPr>
        <w:br w:type="page"/>
      </w:r>
      <w:bookmarkStart w:id="0" w:name="_GoBack"/>
      <w:bookmarkEnd w:id="0"/>
    </w:p>
    <w:p w14:paraId="3A1F9100" w14:textId="07EAC614" w:rsidR="001508D6" w:rsidRPr="004F706C" w:rsidRDefault="001508D6" w:rsidP="001508D6">
      <w:pPr>
        <w:jc w:val="center"/>
        <w:rPr>
          <w:rFonts w:ascii="Arial" w:hAnsi="Arial"/>
          <w:color w:val="808080"/>
          <w:sz w:val="144"/>
          <w:szCs w:val="144"/>
        </w:rPr>
      </w:pPr>
      <w:r w:rsidRPr="004F706C">
        <w:rPr>
          <w:rFonts w:ascii="Arial" w:hAnsi="Arial"/>
          <w:b/>
          <w:sz w:val="48"/>
        </w:rPr>
        <w:br/>
      </w:r>
      <w:r w:rsidRPr="004F706C">
        <w:rPr>
          <w:rFonts w:ascii="Arial" w:hAnsi="Arial"/>
          <w:b/>
          <w:noProof/>
          <w:sz w:val="28"/>
        </w:rPr>
        <w:drawing>
          <wp:inline distT="0" distB="0" distL="0" distR="0" wp14:anchorId="666066C8" wp14:editId="1B53F2DB">
            <wp:extent cx="4607560" cy="1531620"/>
            <wp:effectExtent l="19050" t="0" r="2540" b="0"/>
            <wp:docPr id="4" name="Picture 13"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din_Logo_RGB"/>
                    <pic:cNvPicPr>
                      <a:picLocks noChangeAspect="1" noChangeArrowheads="1"/>
                    </pic:cNvPicPr>
                  </pic:nvPicPr>
                  <pic:blipFill>
                    <a:blip r:embed="rId7" cstate="print"/>
                    <a:srcRect/>
                    <a:stretch>
                      <a:fillRect/>
                    </a:stretch>
                  </pic:blipFill>
                  <pic:spPr bwMode="auto">
                    <a:xfrm>
                      <a:off x="0" y="0"/>
                      <a:ext cx="4607560" cy="1531620"/>
                    </a:xfrm>
                    <a:prstGeom prst="rect">
                      <a:avLst/>
                    </a:prstGeom>
                    <a:noFill/>
                    <a:ln w="9525">
                      <a:noFill/>
                      <a:miter lim="800000"/>
                      <a:headEnd/>
                      <a:tailEnd/>
                    </a:ln>
                  </pic:spPr>
                </pic:pic>
              </a:graphicData>
            </a:graphic>
          </wp:inline>
        </w:drawing>
      </w:r>
    </w:p>
    <w:p w14:paraId="680A8989" w14:textId="77777777" w:rsidR="001508D6" w:rsidRPr="004F706C" w:rsidRDefault="001508D6" w:rsidP="001508D6">
      <w:pPr>
        <w:jc w:val="center"/>
        <w:rPr>
          <w:rFonts w:ascii="Arial" w:hAnsi="Arial"/>
          <w:b/>
          <w:sz w:val="28"/>
        </w:rPr>
      </w:pPr>
    </w:p>
    <w:p w14:paraId="774B331E" w14:textId="77777777" w:rsidR="001508D6" w:rsidRPr="00A10DD9" w:rsidRDefault="001508D6" w:rsidP="001508D6">
      <w:pPr>
        <w:pStyle w:val="Title"/>
        <w:jc w:val="center"/>
        <w:rPr>
          <w:rStyle w:val="BookTitle"/>
          <w:rFonts w:asciiTheme="minorHAnsi" w:hAnsiTheme="minorHAnsi" w:cs="Arial"/>
          <w:b w:val="0"/>
          <w:i w:val="0"/>
          <w:sz w:val="72"/>
          <w:szCs w:val="72"/>
        </w:rPr>
      </w:pPr>
      <w:r w:rsidRPr="00A10DD9">
        <w:rPr>
          <w:rStyle w:val="BookTitle"/>
          <w:rFonts w:asciiTheme="minorHAnsi" w:hAnsiTheme="minorHAnsi" w:cs="Arial"/>
          <w:b w:val="0"/>
          <w:sz w:val="72"/>
          <w:szCs w:val="72"/>
        </w:rPr>
        <w:t>Business Plan</w:t>
      </w:r>
    </w:p>
    <w:p w14:paraId="1AF50AC0" w14:textId="77777777" w:rsidR="001508D6" w:rsidRPr="00A10DD9" w:rsidRDefault="00E732C5" w:rsidP="001508D6">
      <w:pPr>
        <w:pStyle w:val="Title"/>
        <w:jc w:val="center"/>
        <w:rPr>
          <w:rStyle w:val="BookTitle"/>
          <w:rFonts w:asciiTheme="minorHAnsi" w:hAnsiTheme="minorHAnsi" w:cs="Arial"/>
          <w:b w:val="0"/>
          <w:i w:val="0"/>
          <w:sz w:val="72"/>
          <w:szCs w:val="72"/>
        </w:rPr>
      </w:pPr>
      <w:r w:rsidRPr="00A10DD9">
        <w:rPr>
          <w:rStyle w:val="BookTitle"/>
          <w:rFonts w:asciiTheme="minorHAnsi" w:hAnsiTheme="minorHAnsi" w:cs="Arial"/>
          <w:b w:val="0"/>
          <w:sz w:val="72"/>
          <w:szCs w:val="72"/>
        </w:rPr>
        <w:t>2024-2029</w:t>
      </w:r>
    </w:p>
    <w:p w14:paraId="45AA1D2D" w14:textId="77777777" w:rsidR="001508D6" w:rsidRPr="004F706C" w:rsidRDefault="001508D6" w:rsidP="001508D6">
      <w:pPr>
        <w:jc w:val="center"/>
        <w:rPr>
          <w:rFonts w:ascii="Arial" w:hAnsi="Arial"/>
          <w:b/>
          <w:sz w:val="28"/>
        </w:rPr>
      </w:pPr>
    </w:p>
    <w:p w14:paraId="2A2E0E62" w14:textId="77777777" w:rsidR="001508D6" w:rsidRPr="004F706C" w:rsidRDefault="001508D6" w:rsidP="001508D6">
      <w:pPr>
        <w:jc w:val="center"/>
        <w:rPr>
          <w:rFonts w:ascii="Arial" w:hAnsi="Arial"/>
          <w:b/>
          <w:sz w:val="28"/>
        </w:rPr>
      </w:pPr>
    </w:p>
    <w:p w14:paraId="43EA8092" w14:textId="77777777" w:rsidR="001508D6" w:rsidRPr="004F706C" w:rsidRDefault="001508D6" w:rsidP="001508D6">
      <w:pPr>
        <w:jc w:val="center"/>
        <w:rPr>
          <w:rFonts w:ascii="Arial" w:hAnsi="Arial"/>
          <w:b/>
          <w:sz w:val="28"/>
        </w:rPr>
      </w:pPr>
    </w:p>
    <w:p w14:paraId="16533902" w14:textId="77777777" w:rsidR="001508D6" w:rsidRPr="004F706C" w:rsidRDefault="001508D6" w:rsidP="001508D6">
      <w:pPr>
        <w:jc w:val="center"/>
        <w:rPr>
          <w:rFonts w:ascii="Arial" w:hAnsi="Arial"/>
          <w:b/>
          <w:sz w:val="28"/>
        </w:rPr>
      </w:pPr>
    </w:p>
    <w:p w14:paraId="11BEBEA5" w14:textId="77777777" w:rsidR="001508D6" w:rsidRPr="00A10DD9" w:rsidRDefault="001508D6" w:rsidP="001508D6">
      <w:pPr>
        <w:jc w:val="center"/>
        <w:rPr>
          <w:rFonts w:asciiTheme="majorHAnsi" w:hAnsiTheme="majorHAnsi" w:cstheme="majorHAnsi"/>
          <w:sz w:val="40"/>
          <w:szCs w:val="40"/>
        </w:rPr>
      </w:pPr>
      <w:r w:rsidRPr="00A10DD9">
        <w:rPr>
          <w:rFonts w:asciiTheme="majorHAnsi" w:hAnsiTheme="majorHAnsi" w:cstheme="majorHAnsi"/>
          <w:i/>
          <w:sz w:val="40"/>
          <w:szCs w:val="40"/>
        </w:rPr>
        <w:t>Measure once, use many times</w:t>
      </w:r>
    </w:p>
    <w:p w14:paraId="5DA48D44" w14:textId="77777777" w:rsidR="001508D6" w:rsidRPr="004F706C" w:rsidRDefault="001508D6" w:rsidP="001508D6">
      <w:pPr>
        <w:rPr>
          <w:rFonts w:ascii="Arial" w:hAnsi="Arial"/>
          <w:sz w:val="28"/>
        </w:rPr>
      </w:pPr>
    </w:p>
    <w:p w14:paraId="0CCC54EE" w14:textId="77777777" w:rsidR="001508D6" w:rsidRPr="004F706C" w:rsidRDefault="001508D6" w:rsidP="001508D6">
      <w:pPr>
        <w:jc w:val="center"/>
        <w:rPr>
          <w:rFonts w:asciiTheme="minorHAnsi" w:hAnsiTheme="minorHAnsi"/>
          <w:sz w:val="28"/>
        </w:rPr>
      </w:pPr>
    </w:p>
    <w:p w14:paraId="15E2DF2B" w14:textId="77777777" w:rsidR="001508D6" w:rsidRPr="004F706C" w:rsidRDefault="001508D6" w:rsidP="001508D6">
      <w:pPr>
        <w:rPr>
          <w:rFonts w:asciiTheme="minorHAnsi" w:hAnsiTheme="minorHAnsi"/>
          <w:sz w:val="28"/>
        </w:rPr>
      </w:pPr>
    </w:p>
    <w:p w14:paraId="3B982AA5" w14:textId="77777777" w:rsidR="001508D6" w:rsidRPr="004F706C" w:rsidRDefault="001508D6" w:rsidP="001508D6">
      <w:pPr>
        <w:rPr>
          <w:rFonts w:asciiTheme="minorHAnsi" w:hAnsiTheme="minorHAnsi"/>
          <w:sz w:val="28"/>
        </w:rPr>
      </w:pPr>
    </w:p>
    <w:p w14:paraId="57A8D45B" w14:textId="77777777" w:rsidR="001508D6" w:rsidRPr="004F706C" w:rsidRDefault="001508D6" w:rsidP="001508D6">
      <w:pPr>
        <w:rPr>
          <w:rFonts w:asciiTheme="minorHAnsi" w:hAnsiTheme="minorHAnsi"/>
          <w:sz w:val="28"/>
        </w:rPr>
      </w:pPr>
    </w:p>
    <w:p w14:paraId="02E78DCA" w14:textId="77777777" w:rsidR="001508D6" w:rsidRPr="004F706C" w:rsidRDefault="001508D6" w:rsidP="001508D6">
      <w:pPr>
        <w:jc w:val="center"/>
        <w:rPr>
          <w:rFonts w:asciiTheme="minorHAnsi" w:hAnsiTheme="minorHAnsi"/>
          <w:sz w:val="28"/>
        </w:rPr>
      </w:pPr>
    </w:p>
    <w:p w14:paraId="083732FC" w14:textId="29176964" w:rsidR="001508D6" w:rsidRPr="004F706C" w:rsidRDefault="001508D6" w:rsidP="00E732C5">
      <w:pPr>
        <w:jc w:val="center"/>
        <w:rPr>
          <w:rFonts w:asciiTheme="minorHAnsi" w:hAnsiTheme="minorHAnsi"/>
          <w:sz w:val="28"/>
        </w:rPr>
      </w:pPr>
      <w:r w:rsidRPr="004F706C">
        <w:rPr>
          <w:rFonts w:asciiTheme="minorHAnsi" w:hAnsiTheme="minorHAnsi"/>
          <w:sz w:val="28"/>
        </w:rPr>
        <w:t xml:space="preserve">Authors: </w:t>
      </w:r>
      <w:r w:rsidR="005C6B50">
        <w:rPr>
          <w:rFonts w:asciiTheme="minorHAnsi" w:hAnsiTheme="minorHAnsi"/>
          <w:sz w:val="28"/>
        </w:rPr>
        <w:t xml:space="preserve">Clare F Postlethwaite, Rohan Allen, Graeme Duncan, Gaynor Evans, </w:t>
      </w:r>
      <w:r w:rsidR="002E0B1A">
        <w:rPr>
          <w:rFonts w:asciiTheme="minorHAnsi" w:hAnsiTheme="minorHAnsi"/>
          <w:sz w:val="28"/>
        </w:rPr>
        <w:t xml:space="preserve">Laura Hanley, Laura Hewson, </w:t>
      </w:r>
      <w:r w:rsidR="005C6B50">
        <w:rPr>
          <w:rFonts w:asciiTheme="minorHAnsi" w:hAnsiTheme="minorHAnsi"/>
          <w:sz w:val="28"/>
        </w:rPr>
        <w:t>Dan Lear, Kieran Millard, Charlotte Miskin-Hymas, Roseanna Wright</w:t>
      </w:r>
    </w:p>
    <w:p w14:paraId="48ABB4A8" w14:textId="77777777" w:rsidR="001508D6" w:rsidRPr="004F706C" w:rsidRDefault="001508D6" w:rsidP="001508D6">
      <w:pPr>
        <w:rPr>
          <w:rFonts w:ascii="Arial" w:hAnsi="Arial"/>
          <w:b/>
          <w:sz w:val="28"/>
        </w:rPr>
      </w:pPr>
    </w:p>
    <w:p w14:paraId="7E3E69F5" w14:textId="77777777" w:rsidR="001508D6" w:rsidRDefault="001508D6" w:rsidP="001508D6">
      <w:pPr>
        <w:rPr>
          <w:rFonts w:asciiTheme="minorHAnsi" w:hAnsiTheme="minorHAnsi"/>
          <w:b/>
        </w:rPr>
      </w:pPr>
    </w:p>
    <w:p w14:paraId="3B73E439" w14:textId="72753C44" w:rsidR="001D1F61" w:rsidRDefault="001D1F61">
      <w:pPr>
        <w:spacing w:after="160" w:line="259" w:lineRule="auto"/>
        <w:rPr>
          <w:rFonts w:asciiTheme="minorHAnsi" w:hAnsiTheme="minorHAnsi"/>
          <w:b/>
        </w:rPr>
      </w:pPr>
      <w:r>
        <w:rPr>
          <w:rFonts w:asciiTheme="minorHAnsi" w:hAnsiTheme="minorHAnsi"/>
          <w:b/>
        </w:rPr>
        <w:br w:type="page"/>
      </w:r>
    </w:p>
    <w:p w14:paraId="6807413C" w14:textId="77777777" w:rsidR="001508D6" w:rsidRPr="004F706C" w:rsidRDefault="001508D6" w:rsidP="00A94BE8">
      <w:pPr>
        <w:pStyle w:val="Heading1"/>
        <w:numPr>
          <w:ilvl w:val="0"/>
          <w:numId w:val="45"/>
        </w:numPr>
        <w:rPr>
          <w:sz w:val="40"/>
          <w:szCs w:val="40"/>
        </w:rPr>
      </w:pPr>
      <w:r w:rsidRPr="004F706C">
        <w:rPr>
          <w:sz w:val="40"/>
          <w:szCs w:val="40"/>
        </w:rPr>
        <w:t>Vision, mission and strategic goals</w:t>
      </w:r>
    </w:p>
    <w:p w14:paraId="795E9587" w14:textId="77777777" w:rsidR="00A94BE8" w:rsidRDefault="001508D6" w:rsidP="00A94BE8">
      <w:pPr>
        <w:pStyle w:val="Heading2"/>
        <w:numPr>
          <w:ilvl w:val="1"/>
          <w:numId w:val="45"/>
        </w:numPr>
        <w:rPr>
          <w:sz w:val="32"/>
          <w:szCs w:val="32"/>
        </w:rPr>
      </w:pPr>
      <w:r w:rsidRPr="004F706C">
        <w:rPr>
          <w:sz w:val="32"/>
          <w:szCs w:val="32"/>
        </w:rPr>
        <w:t xml:space="preserve"> Vision </w:t>
      </w:r>
    </w:p>
    <w:p w14:paraId="3C9B4A1D" w14:textId="77777777" w:rsidR="00A94BE8" w:rsidRPr="009C213E" w:rsidRDefault="00E0373F" w:rsidP="00A94BE8">
      <w:pPr>
        <w:rPr>
          <w:rFonts w:asciiTheme="minorHAnsi" w:hAnsiTheme="minorHAnsi"/>
          <w:i/>
        </w:rPr>
      </w:pPr>
      <w:r w:rsidRPr="009C213E">
        <w:rPr>
          <w:rFonts w:asciiTheme="minorHAnsi" w:hAnsiTheme="minorHAnsi"/>
          <w:i/>
        </w:rPr>
        <w:t>Our</w:t>
      </w:r>
      <w:r w:rsidR="00A94BE8" w:rsidRPr="009C213E">
        <w:rPr>
          <w:rFonts w:asciiTheme="minorHAnsi" w:hAnsiTheme="minorHAnsi"/>
          <w:i/>
        </w:rPr>
        <w:t xml:space="preserve"> vision is that UK marine data are findable, accessible, interoperable and reusable.</w:t>
      </w:r>
    </w:p>
    <w:p w14:paraId="2C770DEF" w14:textId="77777777" w:rsidR="00A94BE8" w:rsidRPr="009C213E" w:rsidRDefault="00A94BE8" w:rsidP="00A94BE8"/>
    <w:p w14:paraId="6E5E43AB" w14:textId="77777777" w:rsidR="00A94BE8" w:rsidRPr="009C213E" w:rsidRDefault="001508D6" w:rsidP="001508D6">
      <w:pPr>
        <w:pStyle w:val="Heading2"/>
        <w:numPr>
          <w:ilvl w:val="1"/>
          <w:numId w:val="45"/>
        </w:numPr>
        <w:rPr>
          <w:sz w:val="32"/>
          <w:szCs w:val="32"/>
        </w:rPr>
      </w:pPr>
      <w:r w:rsidRPr="009C213E">
        <w:rPr>
          <w:sz w:val="32"/>
          <w:szCs w:val="32"/>
        </w:rPr>
        <w:t>Mission</w:t>
      </w:r>
    </w:p>
    <w:p w14:paraId="3156D9A7" w14:textId="77777777" w:rsidR="008D77F9" w:rsidRPr="009C213E" w:rsidRDefault="00E0373F" w:rsidP="008D77F9">
      <w:pPr>
        <w:rPr>
          <w:rFonts w:asciiTheme="minorHAnsi" w:hAnsiTheme="minorHAnsi" w:cs="Arial"/>
          <w:i/>
        </w:rPr>
      </w:pPr>
      <w:r w:rsidRPr="009C213E">
        <w:rPr>
          <w:rFonts w:asciiTheme="minorHAnsi" w:hAnsiTheme="minorHAnsi" w:cs="Arial"/>
          <w:i/>
        </w:rPr>
        <w:t>Our</w:t>
      </w:r>
      <w:r w:rsidR="008D77F9" w:rsidRPr="009C213E">
        <w:rPr>
          <w:rFonts w:asciiTheme="minorHAnsi" w:hAnsiTheme="minorHAnsi" w:cs="Arial"/>
          <w:i/>
        </w:rPr>
        <w:t xml:space="preserve"> mission is to maximise the value of the UK’s marine data, providing solutions for their efficient capture, archive, access and reuse, to increase the understanding of our marine environment and support the sustainable development of the blue economy.</w:t>
      </w:r>
    </w:p>
    <w:p w14:paraId="6BE8B01C" w14:textId="77777777" w:rsidR="008D77F9" w:rsidRPr="009C213E" w:rsidRDefault="008D77F9" w:rsidP="008D77F9"/>
    <w:p w14:paraId="58B91735" w14:textId="77777777" w:rsidR="001508D6" w:rsidRPr="009C213E" w:rsidRDefault="001508D6" w:rsidP="001508D6">
      <w:pPr>
        <w:pStyle w:val="Heading2"/>
        <w:numPr>
          <w:ilvl w:val="1"/>
          <w:numId w:val="45"/>
        </w:numPr>
        <w:rPr>
          <w:sz w:val="32"/>
          <w:szCs w:val="32"/>
        </w:rPr>
      </w:pPr>
      <w:r w:rsidRPr="009C213E">
        <w:rPr>
          <w:sz w:val="32"/>
          <w:szCs w:val="32"/>
        </w:rPr>
        <w:t>Strategic goals</w:t>
      </w:r>
    </w:p>
    <w:p w14:paraId="4FBC41F7" w14:textId="77777777" w:rsidR="00E0373F" w:rsidRDefault="00E0373F" w:rsidP="00E0373F">
      <w:pPr>
        <w:rPr>
          <w:rFonts w:asciiTheme="minorHAnsi" w:hAnsiTheme="minorHAnsi"/>
          <w:bCs/>
          <w:i/>
        </w:rPr>
      </w:pPr>
      <w:r w:rsidRPr="009C213E">
        <w:rPr>
          <w:rFonts w:asciiTheme="minorHAnsi" w:hAnsiTheme="minorHAnsi"/>
          <w:bCs/>
          <w:i/>
        </w:rPr>
        <w:t>We have set three major goals to help deliver our vision:</w:t>
      </w:r>
    </w:p>
    <w:p w14:paraId="043B8849" w14:textId="77777777" w:rsidR="00662D91" w:rsidRPr="009C213E" w:rsidRDefault="00662D91" w:rsidP="00E0373F">
      <w:pPr>
        <w:rPr>
          <w:rFonts w:asciiTheme="minorHAnsi" w:hAnsiTheme="minorHAnsi"/>
          <w:bCs/>
          <w:i/>
        </w:rPr>
      </w:pPr>
    </w:p>
    <w:tbl>
      <w:tblPr>
        <w:tblStyle w:val="TableGrid"/>
        <w:tblW w:w="8884" w:type="dxa"/>
        <w:tblLook w:val="04A0" w:firstRow="1" w:lastRow="0" w:firstColumn="1" w:lastColumn="0" w:noHBand="0" w:noVBand="1"/>
      </w:tblPr>
      <w:tblGrid>
        <w:gridCol w:w="416"/>
        <w:gridCol w:w="7571"/>
        <w:gridCol w:w="897"/>
      </w:tblGrid>
      <w:tr w:rsidR="00E0373F" w:rsidRPr="009C213E" w14:paraId="18C57A0D" w14:textId="77777777" w:rsidTr="00662D91">
        <w:trPr>
          <w:cantSplit/>
          <w:trHeight w:val="2608"/>
        </w:trPr>
        <w:tc>
          <w:tcPr>
            <w:tcW w:w="416" w:type="dxa"/>
          </w:tcPr>
          <w:p w14:paraId="7AE80D0A" w14:textId="77777777" w:rsidR="00E0373F" w:rsidRPr="009C213E" w:rsidRDefault="00E0373F" w:rsidP="002A7E04">
            <w:pPr>
              <w:jc w:val="center"/>
              <w:rPr>
                <w:rFonts w:asciiTheme="minorHAnsi" w:hAnsiTheme="minorHAnsi"/>
                <w:b/>
                <w:bCs/>
                <w:sz w:val="28"/>
                <w:szCs w:val="28"/>
              </w:rPr>
            </w:pPr>
            <w:r w:rsidRPr="009C213E">
              <w:rPr>
                <w:rFonts w:asciiTheme="minorHAnsi" w:hAnsiTheme="minorHAnsi"/>
                <w:b/>
                <w:bCs/>
                <w:sz w:val="28"/>
                <w:szCs w:val="28"/>
              </w:rPr>
              <w:t>A</w:t>
            </w:r>
          </w:p>
        </w:tc>
        <w:tc>
          <w:tcPr>
            <w:tcW w:w="7571" w:type="dxa"/>
          </w:tcPr>
          <w:p w14:paraId="33494580" w14:textId="77777777" w:rsidR="00E0373F" w:rsidRPr="009C213E" w:rsidRDefault="00E0373F" w:rsidP="002A7E04">
            <w:pPr>
              <w:rPr>
                <w:rFonts w:asciiTheme="minorHAnsi" w:hAnsiTheme="minorHAnsi"/>
                <w:bCs/>
                <w:sz w:val="28"/>
                <w:szCs w:val="28"/>
              </w:rPr>
            </w:pPr>
            <w:r w:rsidRPr="009C213E">
              <w:rPr>
                <w:rFonts w:asciiTheme="minorHAnsi" w:hAnsiTheme="minorHAnsi"/>
                <w:b/>
                <w:bCs/>
                <w:sz w:val="28"/>
                <w:szCs w:val="28"/>
              </w:rPr>
              <w:t xml:space="preserve">We deliver our vision for </w:t>
            </w:r>
            <w:r w:rsidRPr="009C213E">
              <w:rPr>
                <w:rFonts w:asciiTheme="minorHAnsi" w:hAnsiTheme="minorHAnsi"/>
                <w:b/>
                <w:bCs/>
                <w:i/>
                <w:sz w:val="28"/>
                <w:szCs w:val="28"/>
              </w:rPr>
              <w:t>all</w:t>
            </w:r>
            <w:r w:rsidRPr="009C213E">
              <w:rPr>
                <w:rFonts w:asciiTheme="minorHAnsi" w:hAnsiTheme="minorHAnsi"/>
                <w:b/>
                <w:bCs/>
                <w:sz w:val="28"/>
                <w:szCs w:val="28"/>
              </w:rPr>
              <w:t xml:space="preserve"> of the UK marine community</w:t>
            </w:r>
            <w:r w:rsidRPr="009C213E">
              <w:rPr>
                <w:rFonts w:asciiTheme="minorHAnsi" w:hAnsiTheme="minorHAnsi"/>
                <w:bCs/>
                <w:sz w:val="28"/>
                <w:szCs w:val="28"/>
              </w:rPr>
              <w:t xml:space="preserve"> by providing tools and services that are beneficial across the wide spectrum of the marine data community and the full data lifecycle; ensuring widespread archiving and open access to high-quality data to enable maximum use and security and to provide integration and coordination of services. </w:t>
            </w:r>
          </w:p>
          <w:p w14:paraId="1CFC058F" w14:textId="77777777" w:rsidR="00E0373F" w:rsidRPr="009C213E" w:rsidRDefault="00E0373F" w:rsidP="002A7E04">
            <w:pPr>
              <w:rPr>
                <w:rFonts w:asciiTheme="minorHAnsi" w:hAnsiTheme="minorHAnsi"/>
                <w:bCs/>
                <w:sz w:val="28"/>
                <w:szCs w:val="28"/>
              </w:rPr>
            </w:pPr>
          </w:p>
        </w:tc>
        <w:tc>
          <w:tcPr>
            <w:tcW w:w="897" w:type="dxa"/>
            <w:textDirection w:val="btLr"/>
          </w:tcPr>
          <w:p w14:paraId="0B6E126C" w14:textId="77777777" w:rsidR="00E0373F" w:rsidRPr="009C213E" w:rsidRDefault="00E0373F" w:rsidP="002A7E04">
            <w:pPr>
              <w:ind w:left="113" w:right="113"/>
              <w:jc w:val="center"/>
              <w:rPr>
                <w:rFonts w:asciiTheme="minorHAnsi" w:hAnsiTheme="minorHAnsi"/>
                <w:bCs/>
                <w:i/>
                <w:sz w:val="28"/>
                <w:szCs w:val="28"/>
              </w:rPr>
            </w:pPr>
            <w:r w:rsidRPr="009C213E">
              <w:rPr>
                <w:rFonts w:asciiTheme="minorHAnsi" w:hAnsiTheme="minorHAnsi"/>
                <w:bCs/>
                <w:i/>
                <w:sz w:val="28"/>
                <w:szCs w:val="28"/>
              </w:rPr>
              <w:t>Adoption and organisation</w:t>
            </w:r>
          </w:p>
        </w:tc>
      </w:tr>
      <w:tr w:rsidR="00E0373F" w:rsidRPr="009C213E" w14:paraId="65D7E8D5" w14:textId="77777777" w:rsidTr="00662D91">
        <w:trPr>
          <w:cantSplit/>
          <w:trHeight w:val="2608"/>
        </w:trPr>
        <w:tc>
          <w:tcPr>
            <w:tcW w:w="416" w:type="dxa"/>
          </w:tcPr>
          <w:p w14:paraId="6AE7FCC4" w14:textId="77777777" w:rsidR="00E0373F" w:rsidRPr="009C213E" w:rsidRDefault="00E0373F" w:rsidP="002A7E04">
            <w:pPr>
              <w:jc w:val="center"/>
              <w:rPr>
                <w:rFonts w:asciiTheme="minorHAnsi" w:hAnsiTheme="minorHAnsi"/>
                <w:b/>
                <w:bCs/>
                <w:sz w:val="28"/>
                <w:szCs w:val="28"/>
              </w:rPr>
            </w:pPr>
            <w:r w:rsidRPr="009C213E">
              <w:rPr>
                <w:rFonts w:asciiTheme="minorHAnsi" w:hAnsiTheme="minorHAnsi"/>
                <w:b/>
                <w:bCs/>
                <w:sz w:val="28"/>
                <w:szCs w:val="28"/>
              </w:rPr>
              <w:t>B</w:t>
            </w:r>
          </w:p>
        </w:tc>
        <w:tc>
          <w:tcPr>
            <w:tcW w:w="7571" w:type="dxa"/>
          </w:tcPr>
          <w:p w14:paraId="60D8E64F" w14:textId="7708C73E" w:rsidR="00E0373F" w:rsidRPr="009C213E" w:rsidRDefault="006B33A9" w:rsidP="002A7E04">
            <w:pPr>
              <w:rPr>
                <w:rFonts w:asciiTheme="minorHAnsi" w:hAnsiTheme="minorHAnsi"/>
                <w:bCs/>
                <w:sz w:val="28"/>
                <w:szCs w:val="28"/>
              </w:rPr>
            </w:pPr>
            <w:r w:rsidRPr="009C213E">
              <w:rPr>
                <w:rFonts w:asciiTheme="minorHAnsi" w:hAnsiTheme="minorHAnsi"/>
                <w:b/>
                <w:bCs/>
                <w:sz w:val="28"/>
                <w:szCs w:val="28"/>
              </w:rPr>
              <w:t>We deliver</w:t>
            </w:r>
            <w:r w:rsidR="00E0373F" w:rsidRPr="009C213E">
              <w:rPr>
                <w:rFonts w:asciiTheme="minorHAnsi" w:hAnsiTheme="minorHAnsi"/>
                <w:b/>
                <w:bCs/>
                <w:sz w:val="28"/>
                <w:szCs w:val="28"/>
              </w:rPr>
              <w:t xml:space="preserve"> the technical infrastructure required to ensure </w:t>
            </w:r>
            <w:r w:rsidR="001B200B">
              <w:rPr>
                <w:rFonts w:asciiTheme="minorHAnsi" w:hAnsiTheme="minorHAnsi"/>
                <w:b/>
                <w:bCs/>
                <w:sz w:val="28"/>
                <w:szCs w:val="28"/>
              </w:rPr>
              <w:t xml:space="preserve">the </w:t>
            </w:r>
            <w:r w:rsidR="00E0373F" w:rsidRPr="009C213E">
              <w:rPr>
                <w:rFonts w:asciiTheme="minorHAnsi" w:hAnsiTheme="minorHAnsi"/>
                <w:b/>
                <w:bCs/>
                <w:sz w:val="28"/>
                <w:szCs w:val="28"/>
              </w:rPr>
              <w:t>UK’s marine environmental data are Findable, Accessible, Interoperable and Reusable (FAIR)</w:t>
            </w:r>
            <w:r w:rsidR="00E0373F" w:rsidRPr="009C213E">
              <w:rPr>
                <w:rFonts w:asciiTheme="minorHAnsi" w:hAnsiTheme="minorHAnsi"/>
                <w:bCs/>
                <w:sz w:val="28"/>
                <w:szCs w:val="28"/>
              </w:rPr>
              <w:t xml:space="preserve"> by providing</w:t>
            </w:r>
            <w:r w:rsidR="001B200B">
              <w:rPr>
                <w:rFonts w:asciiTheme="minorHAnsi" w:hAnsiTheme="minorHAnsi"/>
                <w:bCs/>
                <w:sz w:val="28"/>
                <w:szCs w:val="28"/>
              </w:rPr>
              <w:t>:</w:t>
            </w:r>
            <w:r w:rsidR="00E0373F" w:rsidRPr="009C213E">
              <w:rPr>
                <w:rFonts w:asciiTheme="minorHAnsi" w:hAnsiTheme="minorHAnsi"/>
                <w:bCs/>
                <w:sz w:val="28"/>
                <w:szCs w:val="28"/>
              </w:rPr>
              <w:t xml:space="preserve"> a coordinated network of marine Data Archive Centres</w:t>
            </w:r>
            <w:r w:rsidR="001B200B">
              <w:rPr>
                <w:rFonts w:asciiTheme="minorHAnsi" w:hAnsiTheme="minorHAnsi"/>
                <w:bCs/>
                <w:sz w:val="28"/>
                <w:szCs w:val="28"/>
              </w:rPr>
              <w:t>;</w:t>
            </w:r>
            <w:r w:rsidR="001B200B" w:rsidRPr="009C213E">
              <w:rPr>
                <w:rFonts w:asciiTheme="minorHAnsi" w:hAnsiTheme="minorHAnsi"/>
                <w:bCs/>
                <w:sz w:val="28"/>
                <w:szCs w:val="28"/>
              </w:rPr>
              <w:t xml:space="preserve"> </w:t>
            </w:r>
            <w:r w:rsidR="00E0373F" w:rsidRPr="009C213E">
              <w:rPr>
                <w:rFonts w:asciiTheme="minorHAnsi" w:hAnsiTheme="minorHAnsi"/>
                <w:bCs/>
                <w:sz w:val="28"/>
                <w:szCs w:val="28"/>
              </w:rPr>
              <w:t>a single portal to access all UK marine data and standards</w:t>
            </w:r>
            <w:r w:rsidR="001B200B">
              <w:rPr>
                <w:rFonts w:asciiTheme="minorHAnsi" w:hAnsiTheme="minorHAnsi"/>
                <w:bCs/>
                <w:sz w:val="28"/>
                <w:szCs w:val="28"/>
              </w:rPr>
              <w:t>;</w:t>
            </w:r>
            <w:r w:rsidR="001B200B" w:rsidRPr="009C213E">
              <w:rPr>
                <w:rFonts w:asciiTheme="minorHAnsi" w:hAnsiTheme="minorHAnsi"/>
                <w:bCs/>
                <w:sz w:val="28"/>
                <w:szCs w:val="28"/>
              </w:rPr>
              <w:t xml:space="preserve"> </w:t>
            </w:r>
            <w:r w:rsidR="00E0373F" w:rsidRPr="009C213E">
              <w:rPr>
                <w:rFonts w:asciiTheme="minorHAnsi" w:hAnsiTheme="minorHAnsi"/>
                <w:bCs/>
                <w:sz w:val="28"/>
                <w:szCs w:val="28"/>
              </w:rPr>
              <w:t>tools and services to support the UK marine community.</w:t>
            </w:r>
          </w:p>
        </w:tc>
        <w:tc>
          <w:tcPr>
            <w:tcW w:w="897" w:type="dxa"/>
            <w:textDirection w:val="btLr"/>
          </w:tcPr>
          <w:p w14:paraId="7C084F52" w14:textId="77777777" w:rsidR="00E0373F" w:rsidRPr="009C213E" w:rsidRDefault="00E0373F" w:rsidP="002A7E04">
            <w:pPr>
              <w:ind w:left="113" w:right="113"/>
              <w:jc w:val="center"/>
              <w:rPr>
                <w:rFonts w:asciiTheme="minorHAnsi" w:hAnsiTheme="minorHAnsi"/>
                <w:bCs/>
                <w:i/>
                <w:sz w:val="28"/>
                <w:szCs w:val="28"/>
              </w:rPr>
            </w:pPr>
            <w:r w:rsidRPr="009C213E">
              <w:rPr>
                <w:rFonts w:asciiTheme="minorHAnsi" w:hAnsiTheme="minorHAnsi"/>
                <w:bCs/>
                <w:i/>
                <w:sz w:val="28"/>
                <w:szCs w:val="28"/>
              </w:rPr>
              <w:t>Technical infrastructure</w:t>
            </w:r>
          </w:p>
        </w:tc>
      </w:tr>
      <w:tr w:rsidR="00E0373F" w:rsidRPr="004F706C" w14:paraId="308D150F" w14:textId="77777777" w:rsidTr="00662D91">
        <w:trPr>
          <w:cantSplit/>
          <w:trHeight w:val="2608"/>
        </w:trPr>
        <w:tc>
          <w:tcPr>
            <w:tcW w:w="416" w:type="dxa"/>
          </w:tcPr>
          <w:p w14:paraId="270C30E3" w14:textId="77777777" w:rsidR="00E0373F" w:rsidRPr="009C213E" w:rsidRDefault="00E0373F" w:rsidP="002A7E04">
            <w:pPr>
              <w:jc w:val="center"/>
              <w:rPr>
                <w:rFonts w:asciiTheme="minorHAnsi" w:hAnsiTheme="minorHAnsi"/>
                <w:b/>
                <w:bCs/>
                <w:sz w:val="28"/>
                <w:szCs w:val="28"/>
              </w:rPr>
            </w:pPr>
            <w:r w:rsidRPr="009C213E">
              <w:rPr>
                <w:rFonts w:asciiTheme="minorHAnsi" w:hAnsiTheme="minorHAnsi"/>
                <w:b/>
                <w:bCs/>
                <w:sz w:val="28"/>
                <w:szCs w:val="28"/>
              </w:rPr>
              <w:t>C</w:t>
            </w:r>
          </w:p>
        </w:tc>
        <w:tc>
          <w:tcPr>
            <w:tcW w:w="7571" w:type="dxa"/>
          </w:tcPr>
          <w:p w14:paraId="19BC3176" w14:textId="77777777" w:rsidR="00E0373F" w:rsidRPr="009C213E" w:rsidRDefault="006B33A9" w:rsidP="002A7E04">
            <w:pPr>
              <w:rPr>
                <w:rFonts w:asciiTheme="minorHAnsi" w:hAnsiTheme="minorHAnsi"/>
                <w:bCs/>
                <w:sz w:val="28"/>
                <w:szCs w:val="28"/>
              </w:rPr>
            </w:pPr>
            <w:r w:rsidRPr="009C213E">
              <w:rPr>
                <w:rFonts w:asciiTheme="minorHAnsi" w:hAnsiTheme="minorHAnsi"/>
                <w:b/>
                <w:bCs/>
                <w:sz w:val="28"/>
                <w:szCs w:val="28"/>
              </w:rPr>
              <w:t>We deliver</w:t>
            </w:r>
            <w:r w:rsidR="00E0373F" w:rsidRPr="009C213E">
              <w:rPr>
                <w:rFonts w:asciiTheme="minorHAnsi" w:hAnsiTheme="minorHAnsi"/>
                <w:b/>
                <w:bCs/>
                <w:sz w:val="28"/>
                <w:szCs w:val="28"/>
              </w:rPr>
              <w:t xml:space="preserve"> an open and constructive data management culture</w:t>
            </w:r>
            <w:r w:rsidR="00E0373F" w:rsidRPr="009C213E">
              <w:rPr>
                <w:rFonts w:asciiTheme="minorHAnsi" w:hAnsiTheme="minorHAnsi"/>
                <w:bCs/>
                <w:sz w:val="28"/>
                <w:szCs w:val="28"/>
              </w:rPr>
              <w:t xml:space="preserve">, fostering global collaboration and partnerships, addressing skills gaps, </w:t>
            </w:r>
            <w:r w:rsidRPr="009C213E">
              <w:rPr>
                <w:rFonts w:asciiTheme="minorHAnsi" w:hAnsiTheme="minorHAnsi"/>
                <w:bCs/>
                <w:sz w:val="28"/>
                <w:szCs w:val="28"/>
              </w:rPr>
              <w:t xml:space="preserve">and </w:t>
            </w:r>
            <w:r w:rsidR="00E0373F" w:rsidRPr="009C213E">
              <w:rPr>
                <w:rFonts w:asciiTheme="minorHAnsi" w:hAnsiTheme="minorHAnsi"/>
                <w:bCs/>
                <w:sz w:val="28"/>
                <w:szCs w:val="28"/>
              </w:rPr>
              <w:t xml:space="preserve">providing training and education. </w:t>
            </w:r>
          </w:p>
          <w:p w14:paraId="63C229CC" w14:textId="77777777" w:rsidR="00E0373F" w:rsidRPr="009C213E" w:rsidRDefault="00E0373F" w:rsidP="002A7E04">
            <w:pPr>
              <w:rPr>
                <w:rFonts w:asciiTheme="minorHAnsi" w:hAnsiTheme="minorHAnsi"/>
                <w:bCs/>
                <w:sz w:val="28"/>
                <w:szCs w:val="28"/>
              </w:rPr>
            </w:pPr>
          </w:p>
        </w:tc>
        <w:tc>
          <w:tcPr>
            <w:tcW w:w="897" w:type="dxa"/>
            <w:textDirection w:val="btLr"/>
          </w:tcPr>
          <w:p w14:paraId="2ACA5E36" w14:textId="26D07E5A" w:rsidR="00E0373F" w:rsidRPr="004F706C" w:rsidRDefault="00E0373F" w:rsidP="002A7E04">
            <w:pPr>
              <w:ind w:left="113" w:right="113"/>
              <w:jc w:val="center"/>
              <w:rPr>
                <w:rFonts w:asciiTheme="minorHAnsi" w:hAnsiTheme="minorHAnsi"/>
                <w:bCs/>
                <w:i/>
                <w:sz w:val="28"/>
                <w:szCs w:val="28"/>
              </w:rPr>
            </w:pPr>
            <w:r w:rsidRPr="009C213E">
              <w:rPr>
                <w:rFonts w:asciiTheme="minorHAnsi" w:hAnsiTheme="minorHAnsi"/>
                <w:bCs/>
                <w:i/>
                <w:sz w:val="28"/>
                <w:szCs w:val="28"/>
              </w:rPr>
              <w:t>Community and education</w:t>
            </w:r>
          </w:p>
        </w:tc>
      </w:tr>
    </w:tbl>
    <w:p w14:paraId="1F6B1C3D" w14:textId="77777777" w:rsidR="001508D6" w:rsidRDefault="008C69E8" w:rsidP="008C69E8">
      <w:pPr>
        <w:pStyle w:val="Heading1"/>
        <w:numPr>
          <w:ilvl w:val="0"/>
          <w:numId w:val="45"/>
        </w:numPr>
        <w:rPr>
          <w:sz w:val="40"/>
          <w:szCs w:val="40"/>
        </w:rPr>
      </w:pPr>
      <w:r w:rsidRPr="008C69E8">
        <w:rPr>
          <w:sz w:val="40"/>
          <w:szCs w:val="40"/>
        </w:rPr>
        <w:t>High Level Objectives</w:t>
      </w:r>
    </w:p>
    <w:p w14:paraId="6B271265" w14:textId="77777777" w:rsidR="008C69E8" w:rsidRPr="008C69E8" w:rsidRDefault="008C69E8" w:rsidP="008C69E8">
      <w:pPr>
        <w:ind w:left="360"/>
        <w:rPr>
          <w:rFonts w:asciiTheme="minorHAnsi" w:hAnsiTheme="minorHAnsi"/>
        </w:rPr>
        <w:sectPr w:rsidR="008C69E8" w:rsidRPr="008C69E8" w:rsidSect="00313A99">
          <w:headerReference w:type="default" r:id="rId8"/>
          <w:footerReference w:type="default" r:id="rId9"/>
          <w:type w:val="nextColumn"/>
          <w:pgSz w:w="11907" w:h="16839" w:code="9"/>
          <w:pgMar w:top="1440" w:right="1440" w:bottom="1440" w:left="1440" w:header="709" w:footer="709" w:gutter="0"/>
          <w:cols w:space="708"/>
          <w:docGrid w:linePitch="360"/>
        </w:sectPr>
      </w:pPr>
      <w:r>
        <w:rPr>
          <w:rFonts w:asciiTheme="minorHAnsi" w:hAnsiTheme="minorHAnsi"/>
        </w:rPr>
        <w:t>We have</w:t>
      </w:r>
      <w:r w:rsidRPr="008C69E8">
        <w:rPr>
          <w:rFonts w:asciiTheme="minorHAnsi" w:hAnsiTheme="minorHAnsi"/>
        </w:rPr>
        <w:t xml:space="preserve"> defined </w:t>
      </w:r>
      <w:r w:rsidR="00AA3798">
        <w:rPr>
          <w:rFonts w:asciiTheme="minorHAnsi" w:hAnsiTheme="minorHAnsi"/>
        </w:rPr>
        <w:t>10</w:t>
      </w:r>
      <w:r w:rsidRPr="008C69E8">
        <w:rPr>
          <w:rFonts w:asciiTheme="minorHAnsi" w:hAnsiTheme="minorHAnsi"/>
        </w:rPr>
        <w:t xml:space="preserve"> High Level Objectives (HLOs) for </w:t>
      </w:r>
      <w:r>
        <w:rPr>
          <w:rFonts w:asciiTheme="minorHAnsi" w:hAnsiTheme="minorHAnsi"/>
        </w:rPr>
        <w:t>2024-2029</w:t>
      </w:r>
      <w:r w:rsidRPr="008C69E8">
        <w:rPr>
          <w:rFonts w:asciiTheme="minorHAnsi" w:hAnsiTheme="minorHAnsi"/>
        </w:rPr>
        <w:t xml:space="preserve"> to help achieve </w:t>
      </w:r>
      <w:r>
        <w:rPr>
          <w:rFonts w:asciiTheme="minorHAnsi" w:hAnsiTheme="minorHAnsi"/>
        </w:rPr>
        <w:t xml:space="preserve">our </w:t>
      </w:r>
      <w:r w:rsidRPr="008C69E8">
        <w:rPr>
          <w:rFonts w:asciiTheme="minorHAnsi" w:hAnsiTheme="minorHAnsi"/>
        </w:rPr>
        <w:t xml:space="preserve">goals. </w:t>
      </w:r>
      <w:r>
        <w:rPr>
          <w:rFonts w:asciiTheme="minorHAnsi" w:hAnsiTheme="minorHAnsi"/>
        </w:rPr>
        <w:t xml:space="preserve">All </w:t>
      </w:r>
      <w:r w:rsidRPr="008C69E8">
        <w:rPr>
          <w:rFonts w:asciiTheme="minorHAnsi" w:hAnsiTheme="minorHAnsi"/>
        </w:rPr>
        <w:t>of the</w:t>
      </w:r>
      <w:r>
        <w:rPr>
          <w:rFonts w:asciiTheme="minorHAnsi" w:hAnsiTheme="minorHAnsi"/>
        </w:rPr>
        <w:t xml:space="preserve">se </w:t>
      </w:r>
      <w:r w:rsidRPr="008C69E8">
        <w:rPr>
          <w:rFonts w:asciiTheme="minorHAnsi" w:hAnsiTheme="minorHAnsi"/>
        </w:rPr>
        <w:t xml:space="preserve">are </w:t>
      </w:r>
      <w:r>
        <w:rPr>
          <w:rFonts w:asciiTheme="minorHAnsi" w:hAnsiTheme="minorHAnsi"/>
        </w:rPr>
        <w:t xml:space="preserve">a </w:t>
      </w:r>
      <w:r w:rsidRPr="008C69E8">
        <w:rPr>
          <w:rFonts w:asciiTheme="minorHAnsi" w:hAnsiTheme="minorHAnsi"/>
        </w:rPr>
        <w:t>continuation of objectives set in previous MEDIN Business Plan</w:t>
      </w:r>
      <w:r>
        <w:rPr>
          <w:rFonts w:asciiTheme="minorHAnsi" w:hAnsiTheme="minorHAnsi"/>
        </w:rPr>
        <w:t>s</w:t>
      </w:r>
      <w:r w:rsidRPr="008C69E8">
        <w:rPr>
          <w:rFonts w:asciiTheme="minorHAnsi" w:hAnsiTheme="minorHAnsi"/>
        </w:rPr>
        <w:t xml:space="preserve">, as they remain relevant. </w:t>
      </w:r>
    </w:p>
    <w:tbl>
      <w:tblPr>
        <w:tblStyle w:val="TableGrid"/>
        <w:tblW w:w="9918" w:type="dxa"/>
        <w:tblInd w:w="5" w:type="dxa"/>
        <w:shd w:val="clear" w:color="auto" w:fill="FFFFFF" w:themeFill="background1"/>
        <w:tblLook w:val="04A0" w:firstRow="1" w:lastRow="0" w:firstColumn="1" w:lastColumn="0" w:noHBand="0" w:noVBand="1"/>
      </w:tblPr>
      <w:tblGrid>
        <w:gridCol w:w="727"/>
        <w:gridCol w:w="9191"/>
      </w:tblGrid>
      <w:tr w:rsidR="008C69E8" w:rsidRPr="004F706C" w14:paraId="15DD3D9A" w14:textId="77777777" w:rsidTr="009C213E">
        <w:trPr>
          <w:trHeight w:val="851"/>
        </w:trPr>
        <w:tc>
          <w:tcPr>
            <w:tcW w:w="727" w:type="dxa"/>
            <w:shd w:val="clear" w:color="auto" w:fill="FFFFFF" w:themeFill="background1"/>
          </w:tcPr>
          <w:p w14:paraId="54F99C69" w14:textId="77777777" w:rsidR="008C69E8" w:rsidRPr="004F706C" w:rsidRDefault="008C69E8" w:rsidP="002A7E04">
            <w:pPr>
              <w:tabs>
                <w:tab w:val="right" w:pos="8222"/>
              </w:tabs>
              <w:spacing w:after="120"/>
              <w:jc w:val="center"/>
              <w:rPr>
                <w:rFonts w:asciiTheme="minorHAnsi" w:hAnsiTheme="minorHAnsi" w:cstheme="minorHAnsi"/>
                <w:b/>
                <w:sz w:val="44"/>
                <w:szCs w:val="44"/>
              </w:rPr>
            </w:pPr>
            <w:r w:rsidRPr="004F706C">
              <w:rPr>
                <w:rFonts w:asciiTheme="minorHAnsi" w:hAnsiTheme="minorHAnsi" w:cstheme="minorHAnsi"/>
                <w:b/>
                <w:sz w:val="44"/>
                <w:szCs w:val="44"/>
              </w:rPr>
              <w:lastRenderedPageBreak/>
              <w:t>1</w:t>
            </w:r>
          </w:p>
        </w:tc>
        <w:tc>
          <w:tcPr>
            <w:tcW w:w="9191" w:type="dxa"/>
            <w:shd w:val="clear" w:color="auto" w:fill="FFFFFF" w:themeFill="background1"/>
            <w:vAlign w:val="center"/>
          </w:tcPr>
          <w:p w14:paraId="06F23B65" w14:textId="438BD853" w:rsidR="008C69E8" w:rsidRPr="004F706C" w:rsidRDefault="008C69E8" w:rsidP="002A7E04">
            <w:pPr>
              <w:tabs>
                <w:tab w:val="right" w:pos="8222"/>
              </w:tabs>
              <w:spacing w:after="120"/>
              <w:rPr>
                <w:rFonts w:asciiTheme="minorHAnsi" w:hAnsiTheme="minorHAnsi" w:cstheme="minorHAnsi"/>
              </w:rPr>
            </w:pPr>
            <w:r w:rsidRPr="004F706C">
              <w:rPr>
                <w:rFonts w:asciiTheme="minorHAnsi" w:hAnsiTheme="minorHAnsi" w:cstheme="minorHAnsi"/>
                <w:b/>
              </w:rPr>
              <w:t>Access to data.</w:t>
            </w:r>
            <w:r w:rsidRPr="004F706C">
              <w:rPr>
                <w:rFonts w:asciiTheme="minorHAnsi" w:hAnsiTheme="minorHAnsi" w:cstheme="minorHAnsi"/>
              </w:rPr>
              <w:t xml:space="preserve"> Provide efficient access to arguably the most comprehensive coverage of high</w:t>
            </w:r>
            <w:r>
              <w:rPr>
                <w:rFonts w:asciiTheme="minorHAnsi" w:hAnsiTheme="minorHAnsi" w:cstheme="minorHAnsi"/>
              </w:rPr>
              <w:t>-</w:t>
            </w:r>
            <w:r w:rsidRPr="004F706C">
              <w:rPr>
                <w:rFonts w:asciiTheme="minorHAnsi" w:hAnsiTheme="minorHAnsi" w:cstheme="minorHAnsi"/>
              </w:rPr>
              <w:t>quality marine data held by UK organisations via the MEDIN portal and DAC network, thereby enabling wide-ranging</w:t>
            </w:r>
            <w:r w:rsidR="00454C68">
              <w:rPr>
                <w:rFonts w:asciiTheme="minorHAnsi" w:hAnsiTheme="minorHAnsi" w:cstheme="minorHAnsi"/>
              </w:rPr>
              <w:t>, coordinated</w:t>
            </w:r>
            <w:r w:rsidRPr="004F706C">
              <w:rPr>
                <w:rFonts w:asciiTheme="minorHAnsi" w:hAnsiTheme="minorHAnsi" w:cstheme="minorHAnsi"/>
              </w:rPr>
              <w:t xml:space="preserve"> and dynamic access to UK marine data, UK marine </w:t>
            </w:r>
            <w:r w:rsidR="001B200B">
              <w:rPr>
                <w:rFonts w:asciiTheme="minorHAnsi" w:hAnsiTheme="minorHAnsi" w:cstheme="minorHAnsi"/>
              </w:rPr>
              <w:t>r</w:t>
            </w:r>
            <w:r w:rsidR="001B200B" w:rsidRPr="004F706C">
              <w:rPr>
                <w:rFonts w:asciiTheme="minorHAnsi" w:hAnsiTheme="minorHAnsi" w:cstheme="minorHAnsi"/>
              </w:rPr>
              <w:t xml:space="preserve">eference </w:t>
            </w:r>
            <w:r w:rsidRPr="004F706C">
              <w:rPr>
                <w:rFonts w:asciiTheme="minorHAnsi" w:hAnsiTheme="minorHAnsi" w:cstheme="minorHAnsi"/>
              </w:rPr>
              <w:t>data, view and download services and other data products in line with user requirements.</w:t>
            </w:r>
          </w:p>
        </w:tc>
      </w:tr>
      <w:tr w:rsidR="008C69E8" w:rsidRPr="004F706C" w14:paraId="5ADE88F6" w14:textId="77777777" w:rsidTr="009C213E">
        <w:trPr>
          <w:trHeight w:val="851"/>
        </w:trPr>
        <w:tc>
          <w:tcPr>
            <w:tcW w:w="727" w:type="dxa"/>
            <w:shd w:val="clear" w:color="auto" w:fill="FFFFFF" w:themeFill="background1"/>
          </w:tcPr>
          <w:p w14:paraId="6391015A" w14:textId="77777777" w:rsidR="008C69E8" w:rsidRPr="004F706C" w:rsidRDefault="008C69E8" w:rsidP="002A7E04">
            <w:pPr>
              <w:jc w:val="center"/>
              <w:rPr>
                <w:rFonts w:asciiTheme="minorHAnsi" w:hAnsiTheme="minorHAnsi" w:cstheme="minorHAnsi"/>
                <w:b/>
                <w:sz w:val="44"/>
                <w:szCs w:val="44"/>
              </w:rPr>
            </w:pPr>
            <w:r w:rsidRPr="004F706C">
              <w:rPr>
                <w:rFonts w:asciiTheme="minorHAnsi" w:hAnsiTheme="minorHAnsi" w:cstheme="minorHAnsi"/>
                <w:b/>
                <w:sz w:val="44"/>
                <w:szCs w:val="44"/>
              </w:rPr>
              <w:t>2</w:t>
            </w:r>
          </w:p>
        </w:tc>
        <w:tc>
          <w:tcPr>
            <w:tcW w:w="9191" w:type="dxa"/>
            <w:shd w:val="clear" w:color="auto" w:fill="FFFFFF" w:themeFill="background1"/>
            <w:vAlign w:val="center"/>
          </w:tcPr>
          <w:p w14:paraId="4CEDD3AE" w14:textId="66F6B567" w:rsidR="008C69E8" w:rsidRPr="004F706C" w:rsidRDefault="009D3B80" w:rsidP="002A7E04">
            <w:pPr>
              <w:rPr>
                <w:rFonts w:asciiTheme="minorHAnsi" w:hAnsiTheme="minorHAnsi" w:cstheme="minorHAnsi"/>
              </w:rPr>
            </w:pPr>
            <w:r>
              <w:rPr>
                <w:rFonts w:asciiTheme="minorHAnsi" w:hAnsiTheme="minorHAnsi" w:cstheme="minorHAnsi"/>
                <w:b/>
              </w:rPr>
              <w:t>Smooth</w:t>
            </w:r>
            <w:r w:rsidRPr="004F706C">
              <w:rPr>
                <w:rFonts w:asciiTheme="minorHAnsi" w:hAnsiTheme="minorHAnsi" w:cstheme="minorHAnsi"/>
                <w:b/>
              </w:rPr>
              <w:t xml:space="preserve"> </w:t>
            </w:r>
            <w:r w:rsidR="008C69E8" w:rsidRPr="004F706C">
              <w:rPr>
                <w:rFonts w:asciiTheme="minorHAnsi" w:hAnsiTheme="minorHAnsi" w:cstheme="minorHAnsi"/>
                <w:b/>
              </w:rPr>
              <w:t>archival.</w:t>
            </w:r>
            <w:r w:rsidR="008C69E8" w:rsidRPr="004F706C">
              <w:rPr>
                <w:rFonts w:asciiTheme="minorHAnsi" w:hAnsiTheme="minorHAnsi" w:cstheme="minorHAnsi"/>
              </w:rPr>
              <w:t xml:space="preserve"> Facilitate frictionless, secure, </w:t>
            </w:r>
            <w:r w:rsidR="001B200B" w:rsidRPr="004F706C">
              <w:rPr>
                <w:rFonts w:asciiTheme="minorHAnsi" w:hAnsiTheme="minorHAnsi" w:cstheme="minorHAnsi"/>
              </w:rPr>
              <w:t>cost</w:t>
            </w:r>
            <w:r w:rsidR="001B200B">
              <w:rPr>
                <w:rFonts w:asciiTheme="minorHAnsi" w:hAnsiTheme="minorHAnsi" w:cstheme="minorHAnsi"/>
              </w:rPr>
              <w:t>-</w:t>
            </w:r>
            <w:r w:rsidR="008C69E8" w:rsidRPr="004F706C">
              <w:rPr>
                <w:rFonts w:asciiTheme="minorHAnsi" w:hAnsiTheme="minorHAnsi" w:cstheme="minorHAnsi"/>
              </w:rPr>
              <w:t>effective, long-term archiv</w:t>
            </w:r>
            <w:r w:rsidR="008C69E8">
              <w:rPr>
                <w:rFonts w:asciiTheme="minorHAnsi" w:hAnsiTheme="minorHAnsi" w:cstheme="minorHAnsi"/>
              </w:rPr>
              <w:t>ing</w:t>
            </w:r>
            <w:r w:rsidR="008C69E8" w:rsidRPr="004F706C">
              <w:rPr>
                <w:rFonts w:asciiTheme="minorHAnsi" w:hAnsiTheme="minorHAnsi" w:cstheme="minorHAnsi"/>
              </w:rPr>
              <w:t xml:space="preserve"> of marine data within the MEDIN DAC network.</w:t>
            </w:r>
          </w:p>
        </w:tc>
      </w:tr>
      <w:tr w:rsidR="008C69E8" w:rsidRPr="004F706C" w14:paraId="3AC8E9D8" w14:textId="77777777" w:rsidTr="009C213E">
        <w:trPr>
          <w:trHeight w:val="851"/>
        </w:trPr>
        <w:tc>
          <w:tcPr>
            <w:tcW w:w="727" w:type="dxa"/>
            <w:shd w:val="clear" w:color="auto" w:fill="FFFFFF" w:themeFill="background1"/>
          </w:tcPr>
          <w:p w14:paraId="26391B89" w14:textId="77777777" w:rsidR="008C69E8" w:rsidRPr="004F706C" w:rsidRDefault="008C69E8" w:rsidP="002A7E04">
            <w:pPr>
              <w:tabs>
                <w:tab w:val="right" w:pos="8222"/>
              </w:tabs>
              <w:spacing w:after="120"/>
              <w:jc w:val="center"/>
              <w:rPr>
                <w:rFonts w:asciiTheme="minorHAnsi" w:hAnsiTheme="minorHAnsi" w:cstheme="minorHAnsi"/>
                <w:b/>
                <w:sz w:val="44"/>
                <w:szCs w:val="44"/>
              </w:rPr>
            </w:pPr>
            <w:r w:rsidRPr="004F706C">
              <w:rPr>
                <w:rFonts w:asciiTheme="minorHAnsi" w:hAnsiTheme="minorHAnsi" w:cstheme="minorHAnsi"/>
                <w:b/>
                <w:sz w:val="44"/>
                <w:szCs w:val="44"/>
              </w:rPr>
              <w:t>3</w:t>
            </w:r>
          </w:p>
        </w:tc>
        <w:tc>
          <w:tcPr>
            <w:tcW w:w="9191" w:type="dxa"/>
            <w:shd w:val="clear" w:color="auto" w:fill="FFFFFF" w:themeFill="background1"/>
            <w:vAlign w:val="center"/>
          </w:tcPr>
          <w:p w14:paraId="77E22C42" w14:textId="77777777" w:rsidR="008C69E8" w:rsidRPr="004F706C" w:rsidRDefault="008C69E8" w:rsidP="00E76739">
            <w:pPr>
              <w:tabs>
                <w:tab w:val="right" w:pos="8222"/>
              </w:tabs>
              <w:spacing w:after="120"/>
              <w:rPr>
                <w:rFonts w:asciiTheme="minorHAnsi" w:hAnsiTheme="minorHAnsi" w:cstheme="minorHAnsi"/>
              </w:rPr>
            </w:pPr>
            <w:r w:rsidRPr="004F706C">
              <w:rPr>
                <w:rFonts w:asciiTheme="minorHAnsi" w:hAnsiTheme="minorHAnsi" w:cstheme="minorHAnsi"/>
                <w:b/>
              </w:rPr>
              <w:t>Tools and standards.</w:t>
            </w:r>
            <w:r w:rsidRPr="004F706C">
              <w:rPr>
                <w:rFonts w:asciiTheme="minorHAnsi" w:hAnsiTheme="minorHAnsi" w:cstheme="minorHAnsi"/>
              </w:rPr>
              <w:t xml:space="preserve"> Develop and provide an open access suite of easy to use, forward-looking data management tools and standards e.g. data guidelines, </w:t>
            </w:r>
            <w:r>
              <w:rPr>
                <w:rFonts w:asciiTheme="minorHAnsi" w:hAnsiTheme="minorHAnsi" w:cstheme="minorHAnsi"/>
              </w:rPr>
              <w:t xml:space="preserve">metadata standard, </w:t>
            </w:r>
            <w:r w:rsidRPr="004F706C">
              <w:rPr>
                <w:rFonts w:asciiTheme="minorHAnsi" w:hAnsiTheme="minorHAnsi" w:cstheme="minorHAnsi"/>
              </w:rPr>
              <w:t>Application Programming Interface (API) guid</w:t>
            </w:r>
            <w:r w:rsidR="00E76739">
              <w:rPr>
                <w:rFonts w:asciiTheme="minorHAnsi" w:hAnsiTheme="minorHAnsi" w:cstheme="minorHAnsi"/>
              </w:rPr>
              <w:t>ance</w:t>
            </w:r>
            <w:r w:rsidRPr="004F706C">
              <w:rPr>
                <w:rFonts w:asciiTheme="minorHAnsi" w:hAnsiTheme="minorHAnsi" w:cstheme="minorHAnsi"/>
              </w:rPr>
              <w:t>, fostering community sharing of expertise and code, to ensure more efficient handling of all marine data generated now and in the future.</w:t>
            </w:r>
          </w:p>
        </w:tc>
      </w:tr>
      <w:tr w:rsidR="008C69E8" w:rsidRPr="004F706C" w14:paraId="029BF6A9" w14:textId="77777777" w:rsidTr="009C213E">
        <w:trPr>
          <w:trHeight w:val="851"/>
        </w:trPr>
        <w:tc>
          <w:tcPr>
            <w:tcW w:w="727" w:type="dxa"/>
            <w:shd w:val="clear" w:color="auto" w:fill="FFFFFF" w:themeFill="background1"/>
          </w:tcPr>
          <w:p w14:paraId="48BFE5B3" w14:textId="77777777" w:rsidR="008C69E8" w:rsidRPr="004F706C" w:rsidRDefault="008C69E8" w:rsidP="002A7E04">
            <w:pPr>
              <w:jc w:val="center"/>
              <w:rPr>
                <w:rFonts w:asciiTheme="minorHAnsi" w:hAnsiTheme="minorHAnsi" w:cstheme="minorHAnsi"/>
                <w:b/>
                <w:sz w:val="44"/>
                <w:szCs w:val="44"/>
              </w:rPr>
            </w:pPr>
            <w:r w:rsidRPr="004F706C">
              <w:rPr>
                <w:rFonts w:asciiTheme="minorHAnsi" w:hAnsiTheme="minorHAnsi" w:cstheme="minorHAnsi"/>
                <w:b/>
                <w:sz w:val="44"/>
                <w:szCs w:val="44"/>
              </w:rPr>
              <w:t>4</w:t>
            </w:r>
          </w:p>
        </w:tc>
        <w:tc>
          <w:tcPr>
            <w:tcW w:w="9191" w:type="dxa"/>
            <w:shd w:val="clear" w:color="auto" w:fill="FFFFFF" w:themeFill="background1"/>
            <w:vAlign w:val="center"/>
          </w:tcPr>
          <w:p w14:paraId="04DBE2E4" w14:textId="0D8EA270" w:rsidR="008C69E8" w:rsidRPr="004F706C" w:rsidRDefault="008C69E8" w:rsidP="008C69E8">
            <w:pPr>
              <w:rPr>
                <w:rFonts w:asciiTheme="minorHAnsi" w:hAnsiTheme="minorHAnsi" w:cstheme="minorHAnsi"/>
              </w:rPr>
            </w:pPr>
            <w:r w:rsidRPr="004F706C">
              <w:rPr>
                <w:rFonts w:asciiTheme="minorHAnsi" w:eastAsia="Calibri" w:hAnsiTheme="minorHAnsi" w:cstheme="minorHAnsi"/>
                <w:b/>
              </w:rPr>
              <w:t xml:space="preserve">Community </w:t>
            </w:r>
            <w:r>
              <w:rPr>
                <w:rFonts w:asciiTheme="minorHAnsi" w:eastAsia="Calibri" w:hAnsiTheme="minorHAnsi" w:cstheme="minorHAnsi"/>
                <w:b/>
              </w:rPr>
              <w:t>leadership</w:t>
            </w:r>
            <w:r w:rsidRPr="004F706C">
              <w:rPr>
                <w:rFonts w:asciiTheme="minorHAnsi" w:eastAsia="Calibri" w:hAnsiTheme="minorHAnsi" w:cstheme="minorHAnsi"/>
                <w:b/>
              </w:rPr>
              <w:t>.</w:t>
            </w:r>
            <w:r w:rsidRPr="004F706C">
              <w:rPr>
                <w:rFonts w:asciiTheme="minorHAnsi" w:eastAsia="Calibri" w:hAnsiTheme="minorHAnsi" w:cstheme="minorHAnsi"/>
              </w:rPr>
              <w:t xml:space="preserve"> Lead and build a community of engaged users of marine data, fostering good data management practice</w:t>
            </w:r>
            <w:r>
              <w:rPr>
                <w:rFonts w:asciiTheme="minorHAnsi" w:eastAsia="Calibri" w:hAnsiTheme="minorHAnsi" w:cstheme="minorHAnsi"/>
              </w:rPr>
              <w:t xml:space="preserve">, promoting open data principles and the widespread adoption of </w:t>
            </w:r>
            <w:r w:rsidR="001B200B">
              <w:rPr>
                <w:rFonts w:asciiTheme="minorHAnsi" w:eastAsia="Calibri" w:hAnsiTheme="minorHAnsi" w:cstheme="minorHAnsi"/>
              </w:rPr>
              <w:t xml:space="preserve">the </w:t>
            </w:r>
            <w:r>
              <w:rPr>
                <w:rFonts w:asciiTheme="minorHAnsi" w:eastAsia="Calibri" w:hAnsiTheme="minorHAnsi" w:cstheme="minorHAnsi"/>
              </w:rPr>
              <w:t>MEDIN framework</w:t>
            </w:r>
            <w:r w:rsidRPr="004F706C">
              <w:rPr>
                <w:rFonts w:asciiTheme="minorHAnsi" w:eastAsia="Calibri" w:hAnsiTheme="minorHAnsi" w:cstheme="minorHAnsi"/>
              </w:rPr>
              <w:t>.</w:t>
            </w:r>
          </w:p>
        </w:tc>
      </w:tr>
      <w:tr w:rsidR="008C69E8" w:rsidRPr="004F706C" w14:paraId="44F137AA" w14:textId="77777777" w:rsidTr="009C213E">
        <w:trPr>
          <w:trHeight w:val="851"/>
        </w:trPr>
        <w:tc>
          <w:tcPr>
            <w:tcW w:w="727" w:type="dxa"/>
            <w:shd w:val="clear" w:color="auto" w:fill="FFFFFF" w:themeFill="background1"/>
          </w:tcPr>
          <w:p w14:paraId="34525CDB" w14:textId="77777777" w:rsidR="008C69E8" w:rsidRPr="004F706C" w:rsidRDefault="008C69E8" w:rsidP="002A7E04">
            <w:pPr>
              <w:jc w:val="center"/>
              <w:rPr>
                <w:rFonts w:asciiTheme="minorHAnsi" w:hAnsiTheme="minorHAnsi" w:cstheme="minorHAnsi"/>
                <w:b/>
                <w:sz w:val="44"/>
                <w:szCs w:val="44"/>
              </w:rPr>
            </w:pPr>
            <w:r w:rsidRPr="004F706C">
              <w:rPr>
                <w:rFonts w:asciiTheme="minorHAnsi" w:hAnsiTheme="minorHAnsi" w:cstheme="minorHAnsi"/>
                <w:b/>
                <w:sz w:val="44"/>
                <w:szCs w:val="44"/>
              </w:rPr>
              <w:t>5</w:t>
            </w:r>
          </w:p>
        </w:tc>
        <w:tc>
          <w:tcPr>
            <w:tcW w:w="9191" w:type="dxa"/>
            <w:shd w:val="clear" w:color="auto" w:fill="FFFFFF" w:themeFill="background1"/>
            <w:vAlign w:val="center"/>
          </w:tcPr>
          <w:p w14:paraId="56C0FE86" w14:textId="77777777" w:rsidR="008C69E8" w:rsidRPr="004F706C" w:rsidRDefault="008C69E8" w:rsidP="002A7E04">
            <w:pPr>
              <w:rPr>
                <w:rFonts w:asciiTheme="minorHAnsi" w:hAnsiTheme="minorHAnsi" w:cstheme="minorHAnsi"/>
              </w:rPr>
            </w:pPr>
            <w:r w:rsidRPr="004F706C">
              <w:rPr>
                <w:rFonts w:asciiTheme="minorHAnsi" w:hAnsiTheme="minorHAnsi" w:cstheme="minorHAnsi"/>
                <w:b/>
              </w:rPr>
              <w:t>Environmental assessments.</w:t>
            </w:r>
            <w:r w:rsidRPr="004F706C">
              <w:rPr>
                <w:rFonts w:asciiTheme="minorHAnsi" w:hAnsiTheme="minorHAnsi" w:cstheme="minorHAnsi"/>
              </w:rPr>
              <w:t xml:space="preserve"> Facilitate domestic and international assessments of the marine environment through the storage, management and dissemination of UK monitoring data and provision of advice on retrieval and amalgamation of large, multidisciplinary datasets. </w:t>
            </w:r>
          </w:p>
        </w:tc>
      </w:tr>
      <w:tr w:rsidR="008C69E8" w:rsidRPr="004F706C" w14:paraId="300F52CA" w14:textId="77777777" w:rsidTr="009C213E">
        <w:trPr>
          <w:trHeight w:val="851"/>
        </w:trPr>
        <w:tc>
          <w:tcPr>
            <w:tcW w:w="727" w:type="dxa"/>
            <w:shd w:val="clear" w:color="auto" w:fill="FFFFFF" w:themeFill="background1"/>
          </w:tcPr>
          <w:p w14:paraId="74F15E8E" w14:textId="77777777" w:rsidR="008C69E8" w:rsidRPr="004F706C" w:rsidRDefault="008C69E8" w:rsidP="002A7E04">
            <w:pPr>
              <w:tabs>
                <w:tab w:val="right" w:pos="8222"/>
              </w:tabs>
              <w:spacing w:after="120"/>
              <w:jc w:val="center"/>
              <w:rPr>
                <w:rFonts w:asciiTheme="minorHAnsi" w:hAnsiTheme="minorHAnsi" w:cstheme="minorHAnsi"/>
                <w:b/>
                <w:sz w:val="44"/>
                <w:szCs w:val="44"/>
              </w:rPr>
            </w:pPr>
            <w:r w:rsidRPr="004F706C">
              <w:rPr>
                <w:rFonts w:asciiTheme="minorHAnsi" w:hAnsiTheme="minorHAnsi" w:cstheme="minorHAnsi"/>
                <w:b/>
                <w:sz w:val="44"/>
                <w:szCs w:val="44"/>
              </w:rPr>
              <w:t>6</w:t>
            </w:r>
          </w:p>
        </w:tc>
        <w:tc>
          <w:tcPr>
            <w:tcW w:w="9191" w:type="dxa"/>
            <w:shd w:val="clear" w:color="auto" w:fill="FFFFFF" w:themeFill="background1"/>
            <w:vAlign w:val="center"/>
          </w:tcPr>
          <w:p w14:paraId="6AC559B5" w14:textId="219A14AD" w:rsidR="008C69E8" w:rsidRPr="004F706C" w:rsidRDefault="008C69E8" w:rsidP="002A7E04">
            <w:pPr>
              <w:tabs>
                <w:tab w:val="right" w:pos="8222"/>
              </w:tabs>
              <w:spacing w:after="120"/>
              <w:rPr>
                <w:rFonts w:asciiTheme="minorHAnsi" w:hAnsiTheme="minorHAnsi" w:cstheme="minorHAnsi"/>
              </w:rPr>
            </w:pPr>
            <w:r w:rsidRPr="004F706C">
              <w:rPr>
                <w:rFonts w:asciiTheme="minorHAnsi" w:hAnsiTheme="minorHAnsi" w:cstheme="minorHAnsi"/>
                <w:b/>
              </w:rPr>
              <w:t>Data interoperability.</w:t>
            </w:r>
            <w:r w:rsidRPr="004F706C">
              <w:rPr>
                <w:rFonts w:asciiTheme="minorHAnsi" w:hAnsiTheme="minorHAnsi" w:cstheme="minorHAnsi"/>
              </w:rPr>
              <w:t xml:space="preserve"> Support the UK marine sector to implement globally and cross-domain interoperable marine data services</w:t>
            </w:r>
            <w:r w:rsidR="001B200B">
              <w:rPr>
                <w:rFonts w:asciiTheme="minorHAnsi" w:hAnsiTheme="minorHAnsi" w:cstheme="minorHAnsi"/>
              </w:rPr>
              <w:t>,</w:t>
            </w:r>
            <w:r w:rsidRPr="004F706C">
              <w:rPr>
                <w:rFonts w:asciiTheme="minorHAnsi" w:hAnsiTheme="minorHAnsi" w:cstheme="minorHAnsi"/>
              </w:rPr>
              <w:t xml:space="preserve"> e.g. </w:t>
            </w:r>
            <w:r w:rsidR="001B200B" w:rsidRPr="004F706C">
              <w:rPr>
                <w:rFonts w:asciiTheme="minorHAnsi" w:hAnsiTheme="minorHAnsi" w:cstheme="minorHAnsi"/>
              </w:rPr>
              <w:t>machine</w:t>
            </w:r>
            <w:r w:rsidR="001B200B">
              <w:rPr>
                <w:rFonts w:asciiTheme="minorHAnsi" w:hAnsiTheme="minorHAnsi" w:cstheme="minorHAnsi"/>
              </w:rPr>
              <w:t>-</w:t>
            </w:r>
            <w:r w:rsidRPr="004F706C">
              <w:rPr>
                <w:rFonts w:asciiTheme="minorHAnsi" w:hAnsiTheme="minorHAnsi" w:cstheme="minorHAnsi"/>
              </w:rPr>
              <w:t>readable Application Programming Interface (API) for DACs and others.</w:t>
            </w:r>
          </w:p>
        </w:tc>
      </w:tr>
      <w:tr w:rsidR="008C69E8" w:rsidRPr="004F706C" w14:paraId="4A2079D0" w14:textId="77777777" w:rsidTr="009C213E">
        <w:trPr>
          <w:trHeight w:val="851"/>
        </w:trPr>
        <w:tc>
          <w:tcPr>
            <w:tcW w:w="727" w:type="dxa"/>
            <w:shd w:val="clear" w:color="auto" w:fill="FFFFFF" w:themeFill="background1"/>
          </w:tcPr>
          <w:p w14:paraId="56E7E7B9" w14:textId="77777777" w:rsidR="008C69E8" w:rsidRPr="004F706C" w:rsidRDefault="0047361B" w:rsidP="002A7E04">
            <w:pPr>
              <w:jc w:val="center"/>
              <w:rPr>
                <w:rFonts w:asciiTheme="minorHAnsi" w:hAnsiTheme="minorHAnsi" w:cstheme="minorHAnsi"/>
                <w:b/>
                <w:sz w:val="44"/>
                <w:szCs w:val="44"/>
              </w:rPr>
            </w:pPr>
            <w:r>
              <w:rPr>
                <w:rFonts w:asciiTheme="minorHAnsi" w:hAnsiTheme="minorHAnsi" w:cstheme="minorHAnsi"/>
                <w:b/>
                <w:sz w:val="44"/>
                <w:szCs w:val="44"/>
              </w:rPr>
              <w:t>7</w:t>
            </w:r>
          </w:p>
        </w:tc>
        <w:tc>
          <w:tcPr>
            <w:tcW w:w="9191" w:type="dxa"/>
            <w:shd w:val="clear" w:color="auto" w:fill="FFFFFF" w:themeFill="background1"/>
            <w:vAlign w:val="center"/>
          </w:tcPr>
          <w:p w14:paraId="19B183F8" w14:textId="77777777" w:rsidR="008C69E8" w:rsidRPr="004F706C" w:rsidRDefault="008C69E8" w:rsidP="002A7E04">
            <w:pPr>
              <w:rPr>
                <w:rFonts w:asciiTheme="minorHAnsi" w:hAnsiTheme="minorHAnsi" w:cstheme="minorHAnsi"/>
              </w:rPr>
            </w:pPr>
            <w:r w:rsidRPr="004F706C">
              <w:rPr>
                <w:rFonts w:asciiTheme="minorHAnsi" w:hAnsiTheme="minorHAnsi" w:cstheme="minorHAnsi"/>
                <w:b/>
              </w:rPr>
              <w:t>Data from new technologies.</w:t>
            </w:r>
            <w:r w:rsidRPr="004F706C">
              <w:rPr>
                <w:rFonts w:asciiTheme="minorHAnsi" w:hAnsiTheme="minorHAnsi" w:cstheme="minorHAnsi"/>
              </w:rPr>
              <w:t xml:space="preserve"> Lead the UK marine community in data management for new and emerging technologies, including autonomous and robotic systems.</w:t>
            </w:r>
          </w:p>
        </w:tc>
      </w:tr>
      <w:tr w:rsidR="008C69E8" w:rsidRPr="004F706C" w14:paraId="771580A4" w14:textId="77777777" w:rsidTr="009C213E">
        <w:trPr>
          <w:trHeight w:val="851"/>
        </w:trPr>
        <w:tc>
          <w:tcPr>
            <w:tcW w:w="727" w:type="dxa"/>
            <w:shd w:val="clear" w:color="auto" w:fill="FFFFFF" w:themeFill="background1"/>
          </w:tcPr>
          <w:p w14:paraId="5AEE0DA8" w14:textId="77777777" w:rsidR="008C69E8" w:rsidRPr="004F706C" w:rsidRDefault="0047361B" w:rsidP="002A7E04">
            <w:pPr>
              <w:tabs>
                <w:tab w:val="right" w:pos="8222"/>
              </w:tabs>
              <w:jc w:val="center"/>
              <w:rPr>
                <w:rFonts w:asciiTheme="minorHAnsi" w:hAnsiTheme="minorHAnsi" w:cstheme="minorHAnsi"/>
                <w:b/>
                <w:sz w:val="44"/>
                <w:szCs w:val="44"/>
              </w:rPr>
            </w:pPr>
            <w:r>
              <w:rPr>
                <w:rFonts w:asciiTheme="minorHAnsi" w:hAnsiTheme="minorHAnsi" w:cstheme="minorHAnsi"/>
                <w:b/>
                <w:sz w:val="44"/>
                <w:szCs w:val="44"/>
              </w:rPr>
              <w:t>8</w:t>
            </w:r>
          </w:p>
        </w:tc>
        <w:tc>
          <w:tcPr>
            <w:tcW w:w="9191" w:type="dxa"/>
            <w:shd w:val="clear" w:color="auto" w:fill="FFFFFF" w:themeFill="background1"/>
            <w:vAlign w:val="center"/>
          </w:tcPr>
          <w:p w14:paraId="798ED1DA" w14:textId="2F17E5AC" w:rsidR="008C69E8" w:rsidRPr="004F706C" w:rsidRDefault="008C69E8" w:rsidP="002A7E04">
            <w:pPr>
              <w:tabs>
                <w:tab w:val="right" w:pos="8222"/>
              </w:tabs>
              <w:rPr>
                <w:rFonts w:asciiTheme="minorHAnsi" w:hAnsiTheme="minorHAnsi" w:cstheme="minorHAnsi"/>
              </w:rPr>
            </w:pPr>
            <w:r w:rsidRPr="004F706C">
              <w:rPr>
                <w:rFonts w:asciiTheme="minorHAnsi" w:hAnsiTheme="minorHAnsi" w:cstheme="minorHAnsi"/>
                <w:b/>
              </w:rPr>
              <w:t>Monitoring.</w:t>
            </w:r>
            <w:r w:rsidRPr="004F706C">
              <w:rPr>
                <w:rFonts w:asciiTheme="minorHAnsi" w:hAnsiTheme="minorHAnsi" w:cstheme="minorHAnsi"/>
              </w:rPr>
              <w:t xml:space="preserve"> Record and provide access to information on monitoring activities in the UK to support the UK Marine Monitoring and Assessment Strategy (UKMMAS) </w:t>
            </w:r>
            <w:r w:rsidR="001B200B">
              <w:rPr>
                <w:rFonts w:asciiTheme="minorHAnsi" w:hAnsiTheme="minorHAnsi" w:cstheme="minorHAnsi"/>
              </w:rPr>
              <w:t>c</w:t>
            </w:r>
            <w:r w:rsidR="001B200B" w:rsidRPr="004F706C">
              <w:rPr>
                <w:rFonts w:asciiTheme="minorHAnsi" w:hAnsiTheme="minorHAnsi" w:cstheme="minorHAnsi"/>
              </w:rPr>
              <w:t>ommunity</w:t>
            </w:r>
            <w:r w:rsidRPr="004F706C">
              <w:rPr>
                <w:rFonts w:asciiTheme="minorHAnsi" w:hAnsiTheme="minorHAnsi" w:cstheme="minorHAnsi"/>
              </w:rPr>
              <w:t xml:space="preserve">. </w:t>
            </w:r>
          </w:p>
        </w:tc>
      </w:tr>
      <w:tr w:rsidR="008C69E8" w:rsidRPr="004F706C" w14:paraId="33CB48F8" w14:textId="77777777" w:rsidTr="009C213E">
        <w:trPr>
          <w:trHeight w:val="851"/>
        </w:trPr>
        <w:tc>
          <w:tcPr>
            <w:tcW w:w="727" w:type="dxa"/>
            <w:shd w:val="clear" w:color="auto" w:fill="FFFFFF" w:themeFill="background1"/>
          </w:tcPr>
          <w:p w14:paraId="0EF51BE0" w14:textId="77777777" w:rsidR="008C69E8" w:rsidRPr="004F706C" w:rsidRDefault="0047361B" w:rsidP="002A7E04">
            <w:pPr>
              <w:tabs>
                <w:tab w:val="right" w:pos="8222"/>
              </w:tabs>
              <w:spacing w:after="120"/>
              <w:jc w:val="center"/>
              <w:rPr>
                <w:rFonts w:asciiTheme="minorHAnsi" w:hAnsiTheme="minorHAnsi" w:cstheme="minorHAnsi"/>
                <w:b/>
                <w:sz w:val="44"/>
                <w:szCs w:val="44"/>
              </w:rPr>
            </w:pPr>
            <w:r>
              <w:rPr>
                <w:rFonts w:asciiTheme="minorHAnsi" w:hAnsiTheme="minorHAnsi" w:cstheme="minorHAnsi"/>
                <w:b/>
                <w:sz w:val="44"/>
                <w:szCs w:val="44"/>
              </w:rPr>
              <w:t>9</w:t>
            </w:r>
          </w:p>
        </w:tc>
        <w:tc>
          <w:tcPr>
            <w:tcW w:w="9191" w:type="dxa"/>
            <w:shd w:val="clear" w:color="auto" w:fill="FFFFFF" w:themeFill="background1"/>
            <w:vAlign w:val="center"/>
          </w:tcPr>
          <w:p w14:paraId="6C3B236F" w14:textId="77777777" w:rsidR="008C69E8" w:rsidRPr="004F706C" w:rsidRDefault="008C69E8" w:rsidP="002A7E04">
            <w:pPr>
              <w:tabs>
                <w:tab w:val="right" w:pos="8222"/>
              </w:tabs>
              <w:spacing w:after="120"/>
              <w:rPr>
                <w:rFonts w:asciiTheme="minorHAnsi" w:hAnsiTheme="minorHAnsi" w:cstheme="minorHAnsi"/>
              </w:rPr>
            </w:pPr>
            <w:r w:rsidRPr="004F706C">
              <w:rPr>
                <w:rFonts w:asciiTheme="minorHAnsi" w:hAnsiTheme="minorHAnsi" w:cstheme="minorHAnsi"/>
                <w:b/>
              </w:rPr>
              <w:t xml:space="preserve">Skills and education. </w:t>
            </w:r>
            <w:r w:rsidRPr="004F706C">
              <w:rPr>
                <w:rFonts w:asciiTheme="minorHAnsi" w:hAnsiTheme="minorHAnsi" w:cstheme="minorHAnsi"/>
              </w:rPr>
              <w:t>Enhance data management skills within the marine community, providing training and education.</w:t>
            </w:r>
          </w:p>
        </w:tc>
      </w:tr>
      <w:tr w:rsidR="008C69E8" w:rsidRPr="004F706C" w14:paraId="59080A35" w14:textId="77777777" w:rsidTr="009C213E">
        <w:trPr>
          <w:trHeight w:val="851"/>
        </w:trPr>
        <w:tc>
          <w:tcPr>
            <w:tcW w:w="727" w:type="dxa"/>
            <w:shd w:val="clear" w:color="auto" w:fill="FFFFFF" w:themeFill="background1"/>
          </w:tcPr>
          <w:p w14:paraId="18BB1E73" w14:textId="77777777" w:rsidR="008C69E8" w:rsidRPr="004F706C" w:rsidRDefault="0047361B" w:rsidP="0047361B">
            <w:pPr>
              <w:jc w:val="center"/>
              <w:rPr>
                <w:rFonts w:asciiTheme="minorHAnsi" w:hAnsiTheme="minorHAnsi" w:cstheme="minorHAnsi"/>
                <w:b/>
                <w:sz w:val="44"/>
                <w:szCs w:val="44"/>
              </w:rPr>
            </w:pPr>
            <w:r w:rsidRPr="004F706C">
              <w:rPr>
                <w:rFonts w:asciiTheme="minorHAnsi" w:hAnsiTheme="minorHAnsi" w:cstheme="minorHAnsi"/>
                <w:b/>
                <w:sz w:val="44"/>
                <w:szCs w:val="44"/>
              </w:rPr>
              <w:t>1</w:t>
            </w:r>
            <w:r>
              <w:rPr>
                <w:rFonts w:asciiTheme="minorHAnsi" w:hAnsiTheme="minorHAnsi" w:cstheme="minorHAnsi"/>
                <w:b/>
                <w:sz w:val="44"/>
                <w:szCs w:val="44"/>
              </w:rPr>
              <w:t>0</w:t>
            </w:r>
          </w:p>
        </w:tc>
        <w:tc>
          <w:tcPr>
            <w:tcW w:w="9191" w:type="dxa"/>
            <w:shd w:val="clear" w:color="auto" w:fill="FFFFFF" w:themeFill="background1"/>
            <w:vAlign w:val="center"/>
          </w:tcPr>
          <w:p w14:paraId="5D8BD8C6" w14:textId="42D2D37F" w:rsidR="008C69E8" w:rsidRPr="004F706C" w:rsidRDefault="008C69E8" w:rsidP="002A7E04">
            <w:pPr>
              <w:rPr>
                <w:rFonts w:asciiTheme="minorHAnsi" w:hAnsiTheme="minorHAnsi" w:cstheme="minorHAnsi"/>
              </w:rPr>
            </w:pPr>
            <w:r w:rsidRPr="004F706C">
              <w:rPr>
                <w:rFonts w:asciiTheme="minorHAnsi" w:hAnsiTheme="minorHAnsi" w:cstheme="minorHAnsi"/>
                <w:b/>
              </w:rPr>
              <w:t>In</w:t>
            </w:r>
            <w:r w:rsidR="009D3B80">
              <w:rPr>
                <w:rFonts w:asciiTheme="minorHAnsi" w:hAnsiTheme="minorHAnsi" w:cstheme="minorHAnsi"/>
                <w:b/>
              </w:rPr>
              <w:t>ternational in</w:t>
            </w:r>
            <w:r w:rsidRPr="004F706C">
              <w:rPr>
                <w:rFonts w:asciiTheme="minorHAnsi" w:hAnsiTheme="minorHAnsi" w:cstheme="minorHAnsi"/>
                <w:b/>
              </w:rPr>
              <w:t>fluence and coordination.</w:t>
            </w:r>
            <w:r w:rsidRPr="004F706C">
              <w:rPr>
                <w:rFonts w:asciiTheme="minorHAnsi" w:hAnsiTheme="minorHAnsi" w:cstheme="minorHAnsi"/>
              </w:rPr>
              <w:t xml:space="preserve"> Integrate, coordinate and influence international and cross-domain data initiatives, promoting good data management practice.</w:t>
            </w:r>
          </w:p>
        </w:tc>
      </w:tr>
    </w:tbl>
    <w:p w14:paraId="247C6AC6" w14:textId="77777777" w:rsidR="008C69E8" w:rsidRPr="008C69E8" w:rsidRDefault="008C69E8" w:rsidP="009C213E">
      <w:pPr>
        <w:pStyle w:val="ListParagraph"/>
        <w:rPr>
          <w:rFonts w:asciiTheme="minorHAnsi" w:hAnsiTheme="minorHAnsi"/>
        </w:rPr>
      </w:pPr>
    </w:p>
    <w:p w14:paraId="5418E766" w14:textId="77777777" w:rsidR="008C69E8" w:rsidRPr="00662D91" w:rsidRDefault="008C69E8" w:rsidP="00662D91">
      <w:pPr>
        <w:rPr>
          <w:rFonts w:asciiTheme="minorHAnsi" w:hAnsiTheme="minorHAnsi"/>
          <w:i/>
        </w:rPr>
      </w:pPr>
      <w:r w:rsidRPr="00662D91">
        <w:rPr>
          <w:rFonts w:asciiTheme="minorHAnsi" w:hAnsiTheme="minorHAnsi"/>
          <w:i/>
        </w:rPr>
        <w:t xml:space="preserve">MEDIN’s High Level Objectives (HLOs) for </w:t>
      </w:r>
      <w:r w:rsidR="0047361B" w:rsidRPr="00662D91">
        <w:rPr>
          <w:rFonts w:asciiTheme="minorHAnsi" w:hAnsiTheme="minorHAnsi"/>
          <w:i/>
        </w:rPr>
        <w:t>2024-2029</w:t>
      </w:r>
      <w:r w:rsidRPr="00662D91">
        <w:rPr>
          <w:rFonts w:asciiTheme="minorHAnsi" w:hAnsiTheme="minorHAnsi"/>
          <w:i/>
        </w:rPr>
        <w:t xml:space="preserve">. </w:t>
      </w:r>
    </w:p>
    <w:p w14:paraId="5A721A1B" w14:textId="77777777" w:rsidR="00C10804" w:rsidRDefault="00C10804"/>
    <w:sectPr w:rsidR="00C10804" w:rsidSect="00313A99">
      <w:headerReference w:type="default" r:id="rId10"/>
      <w:footerReference w:type="default" r:id="rId11"/>
      <w:type w:val="nextColumn"/>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AAAE6" w14:textId="77777777" w:rsidR="001508D6" w:rsidRDefault="001508D6" w:rsidP="001508D6">
      <w:r>
        <w:separator/>
      </w:r>
    </w:p>
  </w:endnote>
  <w:endnote w:type="continuationSeparator" w:id="0">
    <w:p w14:paraId="32118E94" w14:textId="77777777" w:rsidR="001508D6" w:rsidRDefault="001508D6" w:rsidP="0015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222848"/>
      <w:docPartObj>
        <w:docPartGallery w:val="Page Numbers (Bottom of Page)"/>
        <w:docPartUnique/>
      </w:docPartObj>
    </w:sdtPr>
    <w:sdtEndPr>
      <w:rPr>
        <w:rFonts w:asciiTheme="minorHAnsi" w:hAnsiTheme="minorHAnsi" w:cstheme="minorHAnsi"/>
        <w:noProof/>
      </w:rPr>
    </w:sdtEndPr>
    <w:sdtContent>
      <w:p w14:paraId="5D7A36F6" w14:textId="37439FC1" w:rsidR="008C69E8" w:rsidRPr="00AD2C79" w:rsidRDefault="008C69E8">
        <w:pPr>
          <w:pStyle w:val="Footer"/>
          <w:jc w:val="center"/>
          <w:rPr>
            <w:rFonts w:asciiTheme="minorHAnsi" w:hAnsiTheme="minorHAnsi" w:cstheme="minorHAnsi"/>
          </w:rPr>
        </w:pPr>
        <w:r w:rsidRPr="00AD2C79">
          <w:rPr>
            <w:rFonts w:asciiTheme="minorHAnsi" w:hAnsiTheme="minorHAnsi" w:cstheme="minorHAnsi"/>
          </w:rPr>
          <w:fldChar w:fldCharType="begin"/>
        </w:r>
        <w:r w:rsidRPr="00AD2C79">
          <w:rPr>
            <w:rFonts w:asciiTheme="minorHAnsi" w:hAnsiTheme="minorHAnsi" w:cstheme="minorHAnsi"/>
          </w:rPr>
          <w:instrText xml:space="preserve"> PAGE   \* MERGEFORMAT </w:instrText>
        </w:r>
        <w:r w:rsidRPr="00AD2C79">
          <w:rPr>
            <w:rFonts w:asciiTheme="minorHAnsi" w:hAnsiTheme="minorHAnsi" w:cstheme="minorHAnsi"/>
          </w:rPr>
          <w:fldChar w:fldCharType="separate"/>
        </w:r>
        <w:r w:rsidR="00797E1F">
          <w:rPr>
            <w:rFonts w:asciiTheme="minorHAnsi" w:hAnsiTheme="minorHAnsi" w:cstheme="minorHAnsi"/>
            <w:noProof/>
          </w:rPr>
          <w:t>3</w:t>
        </w:r>
        <w:r w:rsidRPr="00AD2C79">
          <w:rPr>
            <w:rFonts w:asciiTheme="minorHAnsi" w:hAnsiTheme="minorHAnsi" w:cstheme="minorHAnsi"/>
            <w:noProof/>
          </w:rPr>
          <w:fldChar w:fldCharType="end"/>
        </w:r>
      </w:p>
    </w:sdtContent>
  </w:sdt>
  <w:p w14:paraId="349B6EAF" w14:textId="77777777" w:rsidR="008C69E8" w:rsidRDefault="008C6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173595"/>
      <w:docPartObj>
        <w:docPartGallery w:val="Page Numbers (Bottom of Page)"/>
        <w:docPartUnique/>
      </w:docPartObj>
    </w:sdtPr>
    <w:sdtEndPr>
      <w:rPr>
        <w:rFonts w:asciiTheme="minorHAnsi" w:hAnsiTheme="minorHAnsi" w:cstheme="minorHAnsi"/>
        <w:noProof/>
      </w:rPr>
    </w:sdtEndPr>
    <w:sdtContent>
      <w:p w14:paraId="192B3B6E" w14:textId="174CA528" w:rsidR="001508D6" w:rsidRPr="00AD2C79" w:rsidRDefault="001508D6">
        <w:pPr>
          <w:pStyle w:val="Footer"/>
          <w:jc w:val="center"/>
          <w:rPr>
            <w:rFonts w:asciiTheme="minorHAnsi" w:hAnsiTheme="minorHAnsi" w:cstheme="minorHAnsi"/>
          </w:rPr>
        </w:pPr>
        <w:r w:rsidRPr="00AD2C79">
          <w:rPr>
            <w:rFonts w:asciiTheme="minorHAnsi" w:hAnsiTheme="minorHAnsi" w:cstheme="minorHAnsi"/>
          </w:rPr>
          <w:fldChar w:fldCharType="begin"/>
        </w:r>
        <w:r w:rsidRPr="00AD2C79">
          <w:rPr>
            <w:rFonts w:asciiTheme="minorHAnsi" w:hAnsiTheme="minorHAnsi" w:cstheme="minorHAnsi"/>
          </w:rPr>
          <w:instrText xml:space="preserve"> PAGE   \* MERGEFORMAT </w:instrText>
        </w:r>
        <w:r w:rsidRPr="00AD2C79">
          <w:rPr>
            <w:rFonts w:asciiTheme="minorHAnsi" w:hAnsiTheme="minorHAnsi" w:cstheme="minorHAnsi"/>
          </w:rPr>
          <w:fldChar w:fldCharType="separate"/>
        </w:r>
        <w:r w:rsidR="00797E1F">
          <w:rPr>
            <w:rFonts w:asciiTheme="minorHAnsi" w:hAnsiTheme="minorHAnsi" w:cstheme="minorHAnsi"/>
            <w:noProof/>
          </w:rPr>
          <w:t>4</w:t>
        </w:r>
        <w:r w:rsidRPr="00AD2C79">
          <w:rPr>
            <w:rFonts w:asciiTheme="minorHAnsi" w:hAnsiTheme="minorHAnsi" w:cstheme="minorHAnsi"/>
            <w:noProof/>
          </w:rPr>
          <w:fldChar w:fldCharType="end"/>
        </w:r>
      </w:p>
    </w:sdtContent>
  </w:sdt>
  <w:p w14:paraId="2A939F43" w14:textId="77777777" w:rsidR="001508D6" w:rsidRDefault="00150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1EACD" w14:textId="77777777" w:rsidR="001508D6" w:rsidRDefault="001508D6" w:rsidP="001508D6">
      <w:r>
        <w:separator/>
      </w:r>
    </w:p>
  </w:footnote>
  <w:footnote w:type="continuationSeparator" w:id="0">
    <w:p w14:paraId="3E758C87" w14:textId="77777777" w:rsidR="001508D6" w:rsidRDefault="001508D6" w:rsidP="00150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43404" w14:textId="77777777" w:rsidR="008C69E8" w:rsidRDefault="008C69E8" w:rsidP="00556B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23750" w14:textId="77777777" w:rsidR="001508D6" w:rsidRDefault="001508D6" w:rsidP="00556B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60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BB1B1B"/>
    <w:multiLevelType w:val="hybridMultilevel"/>
    <w:tmpl w:val="23F8311C"/>
    <w:lvl w:ilvl="0" w:tplc="8DDA60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729F5"/>
    <w:multiLevelType w:val="hybridMultilevel"/>
    <w:tmpl w:val="C2A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C1383"/>
    <w:multiLevelType w:val="multilevel"/>
    <w:tmpl w:val="3E6E52AA"/>
    <w:lvl w:ilvl="0">
      <w:start w:val="1"/>
      <w:numFmt w:val="decimal"/>
      <w:lvlText w:val="%1."/>
      <w:lvlJc w:val="left"/>
      <w:pPr>
        <w:ind w:left="360" w:hanging="360"/>
      </w:pPr>
      <w:rPr>
        <w:sz w:val="32"/>
        <w:szCs w:val="3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854"/>
    <w:multiLevelType w:val="hybridMultilevel"/>
    <w:tmpl w:val="642EAAC8"/>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D2682"/>
    <w:multiLevelType w:val="multilevel"/>
    <w:tmpl w:val="F014F362"/>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0E307186"/>
    <w:multiLevelType w:val="hybridMultilevel"/>
    <w:tmpl w:val="2F760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6B4FE9"/>
    <w:multiLevelType w:val="hybridMultilevel"/>
    <w:tmpl w:val="448E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A5A6E"/>
    <w:multiLevelType w:val="multilevel"/>
    <w:tmpl w:val="CA42E008"/>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6572A41"/>
    <w:multiLevelType w:val="hybridMultilevel"/>
    <w:tmpl w:val="4074F6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FA3373"/>
    <w:multiLevelType w:val="hybridMultilevel"/>
    <w:tmpl w:val="581E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D109C"/>
    <w:multiLevelType w:val="multilevel"/>
    <w:tmpl w:val="6242075C"/>
    <w:lvl w:ilvl="0">
      <w:start w:val="1"/>
      <w:numFmt w:val="decimal"/>
      <w:lvlText w:val="%1."/>
      <w:lvlJc w:val="left"/>
      <w:pPr>
        <w:tabs>
          <w:tab w:val="num" w:pos="714"/>
        </w:tabs>
        <w:ind w:left="714" w:hanging="360"/>
      </w:pPr>
      <w:rPr>
        <w:rFonts w:hint="default"/>
      </w:rPr>
    </w:lvl>
    <w:lvl w:ilvl="1">
      <w:start w:val="1"/>
      <w:numFmt w:val="decimal"/>
      <w:isLgl/>
      <w:lvlText w:val="%1.%2."/>
      <w:lvlJc w:val="left"/>
      <w:pPr>
        <w:ind w:left="714" w:hanging="360"/>
      </w:pPr>
      <w:rPr>
        <w:rFonts w:hint="default"/>
      </w:rPr>
    </w:lvl>
    <w:lvl w:ilvl="2">
      <w:start w:val="1"/>
      <w:numFmt w:val="decimal"/>
      <w:isLgl/>
      <w:lvlText w:val="%1.%2.%3."/>
      <w:lvlJc w:val="left"/>
      <w:pPr>
        <w:ind w:left="1074" w:hanging="720"/>
      </w:pPr>
      <w:rPr>
        <w:rFonts w:hint="default"/>
      </w:rPr>
    </w:lvl>
    <w:lvl w:ilvl="3">
      <w:start w:val="1"/>
      <w:numFmt w:val="decimal"/>
      <w:isLgl/>
      <w:lvlText w:val="%1.%2.%3.%4."/>
      <w:lvlJc w:val="left"/>
      <w:pPr>
        <w:ind w:left="1074"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434" w:hanging="1080"/>
      </w:pPr>
      <w:rPr>
        <w:rFonts w:hint="default"/>
      </w:rPr>
    </w:lvl>
    <w:lvl w:ilvl="6">
      <w:start w:val="1"/>
      <w:numFmt w:val="decimal"/>
      <w:isLgl/>
      <w:lvlText w:val="%1.%2.%3.%4.%5.%6.%7."/>
      <w:lvlJc w:val="left"/>
      <w:pPr>
        <w:ind w:left="1794" w:hanging="1440"/>
      </w:pPr>
      <w:rPr>
        <w:rFonts w:hint="default"/>
      </w:rPr>
    </w:lvl>
    <w:lvl w:ilvl="7">
      <w:start w:val="1"/>
      <w:numFmt w:val="decimal"/>
      <w:isLgl/>
      <w:lvlText w:val="%1.%2.%3.%4.%5.%6.%7.%8."/>
      <w:lvlJc w:val="left"/>
      <w:pPr>
        <w:ind w:left="1794" w:hanging="1440"/>
      </w:pPr>
      <w:rPr>
        <w:rFonts w:hint="default"/>
      </w:rPr>
    </w:lvl>
    <w:lvl w:ilvl="8">
      <w:start w:val="1"/>
      <w:numFmt w:val="decimal"/>
      <w:isLgl/>
      <w:lvlText w:val="%1.%2.%3.%4.%5.%6.%7.%8.%9."/>
      <w:lvlJc w:val="left"/>
      <w:pPr>
        <w:ind w:left="2154" w:hanging="1800"/>
      </w:pPr>
      <w:rPr>
        <w:rFonts w:hint="default"/>
      </w:rPr>
    </w:lvl>
  </w:abstractNum>
  <w:abstractNum w:abstractNumId="12" w15:restartNumberingAfterBreak="0">
    <w:nsid w:val="1C4111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CC3404"/>
    <w:multiLevelType w:val="hybridMultilevel"/>
    <w:tmpl w:val="44F6FBE2"/>
    <w:lvl w:ilvl="0" w:tplc="08090001">
      <w:start w:val="1"/>
      <w:numFmt w:val="bullet"/>
      <w:lvlText w:val=""/>
      <w:lvlJc w:val="left"/>
      <w:pPr>
        <w:tabs>
          <w:tab w:val="num" w:pos="720"/>
        </w:tabs>
        <w:ind w:left="720" w:hanging="360"/>
      </w:pPr>
      <w:rPr>
        <w:rFonts w:ascii="Symbol" w:hAnsi="Symbol" w:hint="default"/>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C627CD"/>
    <w:multiLevelType w:val="hybridMultilevel"/>
    <w:tmpl w:val="5874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D2783"/>
    <w:multiLevelType w:val="hybridMultilevel"/>
    <w:tmpl w:val="1F649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A644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011AA"/>
    <w:multiLevelType w:val="hybridMultilevel"/>
    <w:tmpl w:val="DA6A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47002"/>
    <w:multiLevelType w:val="hybridMultilevel"/>
    <w:tmpl w:val="BC74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07F90"/>
    <w:multiLevelType w:val="multilevel"/>
    <w:tmpl w:val="C50C17E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E7F6FE9"/>
    <w:multiLevelType w:val="hybridMultilevel"/>
    <w:tmpl w:val="91D40C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029639E"/>
    <w:multiLevelType w:val="hybridMultilevel"/>
    <w:tmpl w:val="0EBC81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1751895"/>
    <w:multiLevelType w:val="hybridMultilevel"/>
    <w:tmpl w:val="683E9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0F03D1"/>
    <w:multiLevelType w:val="hybridMultilevel"/>
    <w:tmpl w:val="91D40C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37C5A4A"/>
    <w:multiLevelType w:val="multilevel"/>
    <w:tmpl w:val="5700FB92"/>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6423E9A"/>
    <w:multiLevelType w:val="multilevel"/>
    <w:tmpl w:val="5700FB92"/>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CC939E5"/>
    <w:multiLevelType w:val="hybridMultilevel"/>
    <w:tmpl w:val="A7B0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DB43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235283"/>
    <w:multiLevelType w:val="hybridMultilevel"/>
    <w:tmpl w:val="0A6AF9C4"/>
    <w:lvl w:ilvl="0" w:tplc="95A2007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E024D5"/>
    <w:multiLevelType w:val="multilevel"/>
    <w:tmpl w:val="19ECEBA6"/>
    <w:lvl w:ilvl="0">
      <w:start w:val="3"/>
      <w:numFmt w:val="decimal"/>
      <w:lvlText w:val="%1."/>
      <w:lvlJc w:val="left"/>
      <w:pPr>
        <w:ind w:left="360" w:hanging="360"/>
      </w:pPr>
      <w:rPr>
        <w:rFonts w:hint="default"/>
        <w:b/>
        <w:i/>
        <w:sz w:val="32"/>
        <w:szCs w:val="32"/>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164EC6"/>
    <w:multiLevelType w:val="hybridMultilevel"/>
    <w:tmpl w:val="B57A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E27D4"/>
    <w:multiLevelType w:val="hybridMultilevel"/>
    <w:tmpl w:val="6C42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B35C3"/>
    <w:multiLevelType w:val="hybridMultilevel"/>
    <w:tmpl w:val="70BC5D82"/>
    <w:lvl w:ilvl="0" w:tplc="D3A63136">
      <w:start w:val="1"/>
      <w:numFmt w:val="decimal"/>
      <w:lvlText w:val="%1."/>
      <w:lvlJc w:val="left"/>
      <w:pPr>
        <w:ind w:left="720" w:hanging="360"/>
      </w:pPr>
      <w:rPr>
        <w:rFonts w:hint="default"/>
        <w:sz w:val="40"/>
        <w:szCs w:val="4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954DDE"/>
    <w:multiLevelType w:val="multilevel"/>
    <w:tmpl w:val="EE3C07E4"/>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4" w15:restartNumberingAfterBreak="0">
    <w:nsid w:val="605C7E8D"/>
    <w:multiLevelType w:val="multilevel"/>
    <w:tmpl w:val="263054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11074C9"/>
    <w:multiLevelType w:val="hybridMultilevel"/>
    <w:tmpl w:val="73BC7F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486BF7"/>
    <w:multiLevelType w:val="hybridMultilevel"/>
    <w:tmpl w:val="42C4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E418FE"/>
    <w:multiLevelType w:val="hybridMultilevel"/>
    <w:tmpl w:val="86444A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7D1076A"/>
    <w:multiLevelType w:val="multilevel"/>
    <w:tmpl w:val="5700FB92"/>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6A0F117F"/>
    <w:multiLevelType w:val="hybridMultilevel"/>
    <w:tmpl w:val="91D40C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A7C72BA"/>
    <w:multiLevelType w:val="hybridMultilevel"/>
    <w:tmpl w:val="8A4C2A22"/>
    <w:lvl w:ilvl="0" w:tplc="4E2A35A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C5D04F7"/>
    <w:multiLevelType w:val="hybridMultilevel"/>
    <w:tmpl w:val="91D40C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CAF4A97"/>
    <w:multiLevelType w:val="hybridMultilevel"/>
    <w:tmpl w:val="7000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63CA9"/>
    <w:multiLevelType w:val="multilevel"/>
    <w:tmpl w:val="EE3C07E4"/>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4" w15:restartNumberingAfterBreak="0">
    <w:nsid w:val="7C650762"/>
    <w:multiLevelType w:val="hybridMultilevel"/>
    <w:tmpl w:val="91D40C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40"/>
  </w:num>
  <w:num w:numId="3">
    <w:abstractNumId w:val="28"/>
  </w:num>
  <w:num w:numId="4">
    <w:abstractNumId w:val="10"/>
  </w:num>
  <w:num w:numId="5">
    <w:abstractNumId w:val="7"/>
  </w:num>
  <w:num w:numId="6">
    <w:abstractNumId w:val="42"/>
  </w:num>
  <w:num w:numId="7">
    <w:abstractNumId w:val="35"/>
  </w:num>
  <w:num w:numId="8">
    <w:abstractNumId w:val="15"/>
  </w:num>
  <w:num w:numId="9">
    <w:abstractNumId w:val="9"/>
  </w:num>
  <w:num w:numId="10">
    <w:abstractNumId w:val="1"/>
  </w:num>
  <w:num w:numId="11">
    <w:abstractNumId w:val="17"/>
  </w:num>
  <w:num w:numId="12">
    <w:abstractNumId w:val="19"/>
  </w:num>
  <w:num w:numId="13">
    <w:abstractNumId w:val="38"/>
  </w:num>
  <w:num w:numId="14">
    <w:abstractNumId w:val="3"/>
  </w:num>
  <w:num w:numId="15">
    <w:abstractNumId w:val="29"/>
  </w:num>
  <w:num w:numId="16">
    <w:abstractNumId w:val="24"/>
  </w:num>
  <w:num w:numId="17">
    <w:abstractNumId w:val="25"/>
  </w:num>
  <w:num w:numId="18">
    <w:abstractNumId w:val="14"/>
  </w:num>
  <w:num w:numId="19">
    <w:abstractNumId w:val="26"/>
  </w:num>
  <w:num w:numId="20">
    <w:abstractNumId w:val="6"/>
  </w:num>
  <w:num w:numId="21">
    <w:abstractNumId w:val="32"/>
  </w:num>
  <w:num w:numId="22">
    <w:abstractNumId w:val="36"/>
  </w:num>
  <w:num w:numId="23">
    <w:abstractNumId w:val="4"/>
  </w:num>
  <w:num w:numId="24">
    <w:abstractNumId w:val="13"/>
  </w:num>
  <w:num w:numId="25">
    <w:abstractNumId w:val="11"/>
  </w:num>
  <w:num w:numId="26">
    <w:abstractNumId w:val="22"/>
  </w:num>
  <w:num w:numId="27">
    <w:abstractNumId w:val="12"/>
  </w:num>
  <w:num w:numId="28">
    <w:abstractNumId w:val="33"/>
  </w:num>
  <w:num w:numId="29">
    <w:abstractNumId w:val="5"/>
  </w:num>
  <w:num w:numId="30">
    <w:abstractNumId w:val="37"/>
  </w:num>
  <w:num w:numId="31">
    <w:abstractNumId w:val="27"/>
  </w:num>
  <w:num w:numId="32">
    <w:abstractNumId w:val="8"/>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23"/>
  </w:num>
  <w:num w:numId="36">
    <w:abstractNumId w:val="20"/>
  </w:num>
  <w:num w:numId="37">
    <w:abstractNumId w:val="44"/>
  </w:num>
  <w:num w:numId="38">
    <w:abstractNumId w:val="3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31"/>
  </w:num>
  <w:num w:numId="42">
    <w:abstractNumId w:val="16"/>
  </w:num>
  <w:num w:numId="43">
    <w:abstractNumId w:val="2"/>
  </w:num>
  <w:num w:numId="44">
    <w:abstractNumId w:val="1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D6"/>
    <w:rsid w:val="001508D6"/>
    <w:rsid w:val="001B200B"/>
    <w:rsid w:val="001D1F61"/>
    <w:rsid w:val="002E0B1A"/>
    <w:rsid w:val="00454C68"/>
    <w:rsid w:val="0047361B"/>
    <w:rsid w:val="004A4C4B"/>
    <w:rsid w:val="004F5D7E"/>
    <w:rsid w:val="005C6B50"/>
    <w:rsid w:val="006124FF"/>
    <w:rsid w:val="00662D91"/>
    <w:rsid w:val="00676A0A"/>
    <w:rsid w:val="006B33A9"/>
    <w:rsid w:val="00797E1F"/>
    <w:rsid w:val="008C69E8"/>
    <w:rsid w:val="008D77F9"/>
    <w:rsid w:val="008E7AD2"/>
    <w:rsid w:val="009C213E"/>
    <w:rsid w:val="009D3B80"/>
    <w:rsid w:val="00A0043F"/>
    <w:rsid w:val="00A10DD9"/>
    <w:rsid w:val="00A4125E"/>
    <w:rsid w:val="00A62FF8"/>
    <w:rsid w:val="00A94BE8"/>
    <w:rsid w:val="00AA0537"/>
    <w:rsid w:val="00AA3798"/>
    <w:rsid w:val="00C10804"/>
    <w:rsid w:val="00C67C42"/>
    <w:rsid w:val="00DE2080"/>
    <w:rsid w:val="00E0373F"/>
    <w:rsid w:val="00E732C5"/>
    <w:rsid w:val="00E76739"/>
    <w:rsid w:val="00EB3615"/>
    <w:rsid w:val="00EB7499"/>
    <w:rsid w:val="00FF5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F932"/>
  <w15:chartTrackingRefBased/>
  <w15:docId w15:val="{9FA5C328-F1CA-4051-88EF-120F1690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8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508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08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508D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8D6"/>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1508D6"/>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1508D6"/>
    <w:rPr>
      <w:rFonts w:asciiTheme="majorHAnsi" w:eastAsiaTheme="majorEastAsia" w:hAnsiTheme="majorHAnsi" w:cstheme="majorBidi"/>
      <w:color w:val="1F4D78" w:themeColor="accent1" w:themeShade="7F"/>
      <w:sz w:val="24"/>
      <w:szCs w:val="24"/>
      <w:lang w:eastAsia="en-GB"/>
    </w:rPr>
  </w:style>
  <w:style w:type="paragraph" w:styleId="Header">
    <w:name w:val="header"/>
    <w:basedOn w:val="Normal"/>
    <w:link w:val="HeaderChar"/>
    <w:rsid w:val="001508D6"/>
    <w:pPr>
      <w:tabs>
        <w:tab w:val="center" w:pos="4320"/>
        <w:tab w:val="right" w:pos="8640"/>
      </w:tabs>
    </w:pPr>
  </w:style>
  <w:style w:type="character" w:customStyle="1" w:styleId="HeaderChar">
    <w:name w:val="Header Char"/>
    <w:basedOn w:val="DefaultParagraphFont"/>
    <w:link w:val="Header"/>
    <w:rsid w:val="001508D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508D6"/>
    <w:rPr>
      <w:rFonts w:ascii="Tahoma" w:hAnsi="Tahoma" w:cs="Tahoma"/>
      <w:sz w:val="16"/>
      <w:szCs w:val="16"/>
    </w:rPr>
  </w:style>
  <w:style w:type="character" w:customStyle="1" w:styleId="BalloonTextChar">
    <w:name w:val="Balloon Text Char"/>
    <w:basedOn w:val="DefaultParagraphFont"/>
    <w:link w:val="BalloonText"/>
    <w:uiPriority w:val="99"/>
    <w:semiHidden/>
    <w:rsid w:val="001508D6"/>
    <w:rPr>
      <w:rFonts w:ascii="Tahoma" w:eastAsia="Times New Roman" w:hAnsi="Tahoma" w:cs="Tahoma"/>
      <w:sz w:val="16"/>
      <w:szCs w:val="16"/>
      <w:lang w:eastAsia="en-GB"/>
    </w:rPr>
  </w:style>
  <w:style w:type="paragraph" w:styleId="ListParagraph">
    <w:name w:val="List Paragraph"/>
    <w:basedOn w:val="Normal"/>
    <w:uiPriority w:val="34"/>
    <w:qFormat/>
    <w:rsid w:val="001508D6"/>
    <w:pPr>
      <w:ind w:left="720"/>
      <w:contextualSpacing/>
    </w:pPr>
  </w:style>
  <w:style w:type="paragraph" w:styleId="NormalWeb">
    <w:name w:val="Normal (Web)"/>
    <w:basedOn w:val="Normal"/>
    <w:uiPriority w:val="99"/>
    <w:semiHidden/>
    <w:unhideWhenUsed/>
    <w:rsid w:val="001508D6"/>
    <w:rPr>
      <w:rFonts w:eastAsiaTheme="minorHAnsi"/>
    </w:rPr>
  </w:style>
  <w:style w:type="paragraph" w:styleId="Footer">
    <w:name w:val="footer"/>
    <w:basedOn w:val="Normal"/>
    <w:link w:val="FooterChar"/>
    <w:uiPriority w:val="99"/>
    <w:unhideWhenUsed/>
    <w:rsid w:val="001508D6"/>
    <w:pPr>
      <w:tabs>
        <w:tab w:val="center" w:pos="4513"/>
        <w:tab w:val="right" w:pos="9026"/>
      </w:tabs>
    </w:pPr>
  </w:style>
  <w:style w:type="character" w:customStyle="1" w:styleId="FooterChar">
    <w:name w:val="Footer Char"/>
    <w:basedOn w:val="DefaultParagraphFont"/>
    <w:link w:val="Footer"/>
    <w:uiPriority w:val="99"/>
    <w:rsid w:val="001508D6"/>
    <w:rPr>
      <w:rFonts w:ascii="Times New Roman" w:eastAsia="Times New Roman" w:hAnsi="Times New Roman" w:cs="Times New Roman"/>
      <w:sz w:val="24"/>
      <w:szCs w:val="24"/>
      <w:lang w:eastAsia="en-GB"/>
    </w:rPr>
  </w:style>
  <w:style w:type="table" w:styleId="TableGrid">
    <w:name w:val="Table Grid"/>
    <w:basedOn w:val="TableNormal"/>
    <w:uiPriority w:val="59"/>
    <w:rsid w:val="0015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1508D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1508D6"/>
    <w:rPr>
      <w:rFonts w:ascii="Calibri" w:hAnsi="Calibri"/>
      <w:szCs w:val="21"/>
    </w:rPr>
  </w:style>
  <w:style w:type="table" w:customStyle="1" w:styleId="LightShading-Accent111">
    <w:name w:val="Light Shading - Accent 111"/>
    <w:basedOn w:val="TableNormal"/>
    <w:uiPriority w:val="60"/>
    <w:rsid w:val="001508D6"/>
    <w:pPr>
      <w:spacing w:after="0" w:line="240" w:lineRule="auto"/>
    </w:pPr>
    <w:rPr>
      <w:rFonts w:ascii="Times New Roman" w:eastAsia="Times New Roman" w:hAnsi="Times New Roman"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uiPriority w:val="1"/>
    <w:qFormat/>
    <w:rsid w:val="001508D6"/>
    <w:pPr>
      <w:spacing w:after="0" w:line="240" w:lineRule="auto"/>
    </w:pPr>
    <w:rPr>
      <w:rFonts w:eastAsiaTheme="minorEastAsia"/>
      <w:lang w:eastAsia="en-GB"/>
    </w:rPr>
  </w:style>
  <w:style w:type="table" w:customStyle="1" w:styleId="GridTable6Colorful-Accent11">
    <w:name w:val="Grid Table 6 Colorful - Accent 11"/>
    <w:basedOn w:val="TableNormal"/>
    <w:uiPriority w:val="51"/>
    <w:rsid w:val="001508D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1508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8D6"/>
    <w:rPr>
      <w:rFonts w:asciiTheme="majorHAnsi" w:eastAsiaTheme="majorEastAsia" w:hAnsiTheme="majorHAnsi" w:cstheme="majorBidi"/>
      <w:spacing w:val="-10"/>
      <w:kern w:val="28"/>
      <w:sz w:val="56"/>
      <w:szCs w:val="56"/>
      <w:lang w:eastAsia="en-GB"/>
    </w:rPr>
  </w:style>
  <w:style w:type="character" w:styleId="CommentReference">
    <w:name w:val="annotation reference"/>
    <w:basedOn w:val="DefaultParagraphFont"/>
    <w:uiPriority w:val="99"/>
    <w:semiHidden/>
    <w:unhideWhenUsed/>
    <w:rsid w:val="001508D6"/>
    <w:rPr>
      <w:sz w:val="16"/>
      <w:szCs w:val="16"/>
    </w:rPr>
  </w:style>
  <w:style w:type="paragraph" w:styleId="CommentText">
    <w:name w:val="annotation text"/>
    <w:basedOn w:val="Normal"/>
    <w:link w:val="CommentTextChar"/>
    <w:uiPriority w:val="99"/>
    <w:unhideWhenUsed/>
    <w:rsid w:val="001508D6"/>
    <w:rPr>
      <w:sz w:val="20"/>
      <w:szCs w:val="20"/>
    </w:rPr>
  </w:style>
  <w:style w:type="character" w:customStyle="1" w:styleId="CommentTextChar">
    <w:name w:val="Comment Text Char"/>
    <w:basedOn w:val="DefaultParagraphFont"/>
    <w:link w:val="CommentText"/>
    <w:uiPriority w:val="99"/>
    <w:rsid w:val="001508D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508D6"/>
    <w:rPr>
      <w:b/>
      <w:bCs/>
    </w:rPr>
  </w:style>
  <w:style w:type="character" w:customStyle="1" w:styleId="CommentSubjectChar">
    <w:name w:val="Comment Subject Char"/>
    <w:basedOn w:val="CommentTextChar"/>
    <w:link w:val="CommentSubject"/>
    <w:uiPriority w:val="99"/>
    <w:semiHidden/>
    <w:rsid w:val="001508D6"/>
    <w:rPr>
      <w:rFonts w:ascii="Times New Roman" w:eastAsia="Times New Roman" w:hAnsi="Times New Roman" w:cs="Times New Roman"/>
      <w:b/>
      <w:bCs/>
      <w:sz w:val="20"/>
      <w:szCs w:val="20"/>
      <w:lang w:eastAsia="en-GB"/>
    </w:rPr>
  </w:style>
  <w:style w:type="paragraph" w:customStyle="1" w:styleId="Default">
    <w:name w:val="Default"/>
    <w:rsid w:val="001508D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xmsonormal">
    <w:name w:val="x_msonormal"/>
    <w:basedOn w:val="Normal"/>
    <w:rsid w:val="001508D6"/>
    <w:pPr>
      <w:spacing w:before="100" w:beforeAutospacing="1" w:after="100" w:afterAutospacing="1"/>
    </w:pPr>
  </w:style>
  <w:style w:type="paragraph" w:customStyle="1" w:styleId="xmsolistparagraph">
    <w:name w:val="x_msolistparagraph"/>
    <w:basedOn w:val="Normal"/>
    <w:rsid w:val="001508D6"/>
    <w:pPr>
      <w:spacing w:before="100" w:beforeAutospacing="1" w:after="100" w:afterAutospacing="1"/>
    </w:pPr>
  </w:style>
  <w:style w:type="character" w:styleId="Hyperlink">
    <w:name w:val="Hyperlink"/>
    <w:basedOn w:val="DefaultParagraphFont"/>
    <w:uiPriority w:val="99"/>
    <w:unhideWhenUsed/>
    <w:rsid w:val="001508D6"/>
    <w:rPr>
      <w:color w:val="0563C1" w:themeColor="hyperlink"/>
      <w:u w:val="single"/>
    </w:rPr>
  </w:style>
  <w:style w:type="paragraph" w:styleId="FootnoteText">
    <w:name w:val="footnote text"/>
    <w:basedOn w:val="Normal"/>
    <w:link w:val="FootnoteTextChar"/>
    <w:uiPriority w:val="99"/>
    <w:semiHidden/>
    <w:unhideWhenUsed/>
    <w:rsid w:val="001508D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508D6"/>
    <w:rPr>
      <w:sz w:val="20"/>
      <w:szCs w:val="20"/>
    </w:rPr>
  </w:style>
  <w:style w:type="character" w:styleId="FootnoteReference">
    <w:name w:val="footnote reference"/>
    <w:basedOn w:val="DefaultParagraphFont"/>
    <w:uiPriority w:val="99"/>
    <w:semiHidden/>
    <w:unhideWhenUsed/>
    <w:rsid w:val="001508D6"/>
    <w:rPr>
      <w:vertAlign w:val="superscript"/>
    </w:rPr>
  </w:style>
  <w:style w:type="character" w:styleId="BookTitle">
    <w:name w:val="Book Title"/>
    <w:basedOn w:val="DefaultParagraphFont"/>
    <w:uiPriority w:val="33"/>
    <w:qFormat/>
    <w:rsid w:val="001508D6"/>
    <w:rPr>
      <w:b/>
      <w:bCs/>
      <w:i/>
      <w:iCs/>
      <w:spacing w:val="5"/>
    </w:rPr>
  </w:style>
  <w:style w:type="paragraph" w:styleId="EndnoteText">
    <w:name w:val="endnote text"/>
    <w:basedOn w:val="Normal"/>
    <w:link w:val="EndnoteTextChar"/>
    <w:uiPriority w:val="99"/>
    <w:semiHidden/>
    <w:unhideWhenUsed/>
    <w:rsid w:val="001508D6"/>
    <w:rPr>
      <w:sz w:val="20"/>
      <w:szCs w:val="20"/>
    </w:rPr>
  </w:style>
  <w:style w:type="character" w:customStyle="1" w:styleId="EndnoteTextChar">
    <w:name w:val="Endnote Text Char"/>
    <w:basedOn w:val="DefaultParagraphFont"/>
    <w:link w:val="EndnoteText"/>
    <w:uiPriority w:val="99"/>
    <w:semiHidden/>
    <w:rsid w:val="001508D6"/>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1508D6"/>
    <w:rPr>
      <w:vertAlign w:val="superscript"/>
    </w:rPr>
  </w:style>
  <w:style w:type="character" w:styleId="FollowedHyperlink">
    <w:name w:val="FollowedHyperlink"/>
    <w:basedOn w:val="DefaultParagraphFont"/>
    <w:uiPriority w:val="99"/>
    <w:semiHidden/>
    <w:unhideWhenUsed/>
    <w:rsid w:val="001508D6"/>
    <w:rPr>
      <w:color w:val="954F72" w:themeColor="followedHyperlink"/>
      <w:u w:val="single"/>
    </w:rPr>
  </w:style>
  <w:style w:type="paragraph" w:styleId="Revision">
    <w:name w:val="Revision"/>
    <w:hidden/>
    <w:uiPriority w:val="99"/>
    <w:semiHidden/>
    <w:rsid w:val="001B200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5741">
      <w:bodyDiv w:val="1"/>
      <w:marLeft w:val="0"/>
      <w:marRight w:val="0"/>
      <w:marTop w:val="0"/>
      <w:marBottom w:val="0"/>
      <w:divBdr>
        <w:top w:val="none" w:sz="0" w:space="0" w:color="auto"/>
        <w:left w:val="none" w:sz="0" w:space="0" w:color="auto"/>
        <w:bottom w:val="none" w:sz="0" w:space="0" w:color="auto"/>
        <w:right w:val="none" w:sz="0" w:space="0" w:color="auto"/>
      </w:divBdr>
      <w:divsChild>
        <w:div w:id="762073294">
          <w:marLeft w:val="0"/>
          <w:marRight w:val="0"/>
          <w:marTop w:val="0"/>
          <w:marBottom w:val="0"/>
          <w:divBdr>
            <w:top w:val="none" w:sz="0" w:space="0" w:color="auto"/>
            <w:left w:val="none" w:sz="0" w:space="0" w:color="auto"/>
            <w:bottom w:val="none" w:sz="0" w:space="0" w:color="auto"/>
            <w:right w:val="none" w:sz="0" w:space="0" w:color="auto"/>
          </w:divBdr>
        </w:div>
        <w:div w:id="483398583">
          <w:marLeft w:val="0"/>
          <w:marRight w:val="0"/>
          <w:marTop w:val="0"/>
          <w:marBottom w:val="0"/>
          <w:divBdr>
            <w:top w:val="none" w:sz="0" w:space="0" w:color="auto"/>
            <w:left w:val="none" w:sz="0" w:space="0" w:color="auto"/>
            <w:bottom w:val="none" w:sz="0" w:space="0" w:color="auto"/>
            <w:right w:val="none" w:sz="0" w:space="0" w:color="auto"/>
          </w:divBdr>
        </w:div>
        <w:div w:id="1806895054">
          <w:marLeft w:val="0"/>
          <w:marRight w:val="0"/>
          <w:marTop w:val="0"/>
          <w:marBottom w:val="0"/>
          <w:divBdr>
            <w:top w:val="none" w:sz="0" w:space="0" w:color="auto"/>
            <w:left w:val="none" w:sz="0" w:space="0" w:color="auto"/>
            <w:bottom w:val="none" w:sz="0" w:space="0" w:color="auto"/>
            <w:right w:val="none" w:sz="0" w:space="0" w:color="auto"/>
          </w:divBdr>
        </w:div>
        <w:div w:id="1790054114">
          <w:marLeft w:val="0"/>
          <w:marRight w:val="0"/>
          <w:marTop w:val="0"/>
          <w:marBottom w:val="0"/>
          <w:divBdr>
            <w:top w:val="none" w:sz="0" w:space="0" w:color="auto"/>
            <w:left w:val="none" w:sz="0" w:space="0" w:color="auto"/>
            <w:bottom w:val="none" w:sz="0" w:space="0" w:color="auto"/>
            <w:right w:val="none" w:sz="0" w:space="0" w:color="auto"/>
          </w:divBdr>
        </w:div>
        <w:div w:id="125204187">
          <w:marLeft w:val="0"/>
          <w:marRight w:val="0"/>
          <w:marTop w:val="0"/>
          <w:marBottom w:val="0"/>
          <w:divBdr>
            <w:top w:val="none" w:sz="0" w:space="0" w:color="auto"/>
            <w:left w:val="none" w:sz="0" w:space="0" w:color="auto"/>
            <w:bottom w:val="none" w:sz="0" w:space="0" w:color="auto"/>
            <w:right w:val="none" w:sz="0" w:space="0" w:color="auto"/>
          </w:divBdr>
        </w:div>
        <w:div w:id="1779836762">
          <w:marLeft w:val="0"/>
          <w:marRight w:val="0"/>
          <w:marTop w:val="0"/>
          <w:marBottom w:val="0"/>
          <w:divBdr>
            <w:top w:val="none" w:sz="0" w:space="0" w:color="auto"/>
            <w:left w:val="none" w:sz="0" w:space="0" w:color="auto"/>
            <w:bottom w:val="none" w:sz="0" w:space="0" w:color="auto"/>
            <w:right w:val="none" w:sz="0" w:space="0" w:color="auto"/>
          </w:divBdr>
        </w:div>
        <w:div w:id="952176031">
          <w:marLeft w:val="0"/>
          <w:marRight w:val="0"/>
          <w:marTop w:val="0"/>
          <w:marBottom w:val="0"/>
          <w:divBdr>
            <w:top w:val="none" w:sz="0" w:space="0" w:color="auto"/>
            <w:left w:val="none" w:sz="0" w:space="0" w:color="auto"/>
            <w:bottom w:val="none" w:sz="0" w:space="0" w:color="auto"/>
            <w:right w:val="none" w:sz="0" w:space="0" w:color="auto"/>
          </w:divBdr>
        </w:div>
      </w:divsChild>
    </w:div>
    <w:div w:id="720247098">
      <w:bodyDiv w:val="1"/>
      <w:marLeft w:val="0"/>
      <w:marRight w:val="0"/>
      <w:marTop w:val="0"/>
      <w:marBottom w:val="0"/>
      <w:divBdr>
        <w:top w:val="none" w:sz="0" w:space="0" w:color="auto"/>
        <w:left w:val="none" w:sz="0" w:space="0" w:color="auto"/>
        <w:bottom w:val="none" w:sz="0" w:space="0" w:color="auto"/>
        <w:right w:val="none" w:sz="0" w:space="0" w:color="auto"/>
      </w:divBdr>
      <w:divsChild>
        <w:div w:id="36783526">
          <w:marLeft w:val="0"/>
          <w:marRight w:val="0"/>
          <w:marTop w:val="0"/>
          <w:marBottom w:val="0"/>
          <w:divBdr>
            <w:top w:val="none" w:sz="0" w:space="0" w:color="auto"/>
            <w:left w:val="none" w:sz="0" w:space="0" w:color="auto"/>
            <w:bottom w:val="none" w:sz="0" w:space="0" w:color="auto"/>
            <w:right w:val="none" w:sz="0" w:space="0" w:color="auto"/>
          </w:divBdr>
        </w:div>
        <w:div w:id="474878054">
          <w:marLeft w:val="0"/>
          <w:marRight w:val="0"/>
          <w:marTop w:val="0"/>
          <w:marBottom w:val="0"/>
          <w:divBdr>
            <w:top w:val="none" w:sz="0" w:space="0" w:color="auto"/>
            <w:left w:val="none" w:sz="0" w:space="0" w:color="auto"/>
            <w:bottom w:val="none" w:sz="0" w:space="0" w:color="auto"/>
            <w:right w:val="none" w:sz="0" w:space="0" w:color="auto"/>
          </w:divBdr>
        </w:div>
        <w:div w:id="770246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Postlethwaite, Clare</dc:creator>
  <cp:keywords/>
  <dc:description/>
  <cp:lastModifiedBy>Postlethwaite, Clare</cp:lastModifiedBy>
  <cp:revision>6</cp:revision>
  <dcterms:created xsi:type="dcterms:W3CDTF">2023-06-28T13:02:00Z</dcterms:created>
  <dcterms:modified xsi:type="dcterms:W3CDTF">2023-06-28T13:48:00Z</dcterms:modified>
</cp:coreProperties>
</file>